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DF016">
      <w:pPr>
        <w:spacing w:before="0" w:after="240"/>
        <w:ind w:firstLine="0"/>
        <w:jc w:val="center"/>
      </w:pPr>
      <w:r>
        <w:rPr>
          <w:rFonts w:ascii="黑体" w:hAnsi="黑体" w:eastAsia="黑体"/>
          <w:b/>
          <w:sz w:val="32"/>
        </w:rPr>
        <w:t>《金融衍生工具》教学实践报告</w:t>
      </w:r>
    </w:p>
    <w:p w14:paraId="1857A303">
      <w:pPr>
        <w:ind w:firstLine="0"/>
        <w:jc w:val="center"/>
      </w:pPr>
      <w:r>
        <w:rPr>
          <w:rFonts w:ascii="黑体" w:hAnsi="黑体" w:eastAsia="黑体"/>
          <w:b/>
          <w:sz w:val="30"/>
        </w:rPr>
        <w:t>期权保护性策略在企业风险管理中的应用</w:t>
      </w:r>
    </w:p>
    <w:p w14:paraId="53D4393B">
      <w:pPr>
        <w:spacing w:after="360"/>
        <w:ind w:firstLine="0"/>
        <w:jc w:val="center"/>
      </w:pPr>
      <w:r>
        <w:rPr>
          <w:rFonts w:ascii="黑体" w:hAnsi="黑体" w:eastAsia="黑体"/>
          <w:sz w:val="28"/>
        </w:rPr>
        <w:t>——保护性看跌与领口策略实证研究</w:t>
      </w:r>
    </w:p>
    <w:p w14:paraId="1490083E">
      <w:pPr>
        <w:spacing w:before="240" w:after="120"/>
        <w:ind w:firstLine="0"/>
      </w:pPr>
      <w:r>
        <w:rPr>
          <w:rFonts w:ascii="黑体" w:hAnsi="黑体" w:eastAsia="黑体"/>
          <w:b/>
          <w:sz w:val="28"/>
        </w:rPr>
        <w:t>一、引言</w:t>
      </w:r>
    </w:p>
    <w:p w14:paraId="7FD8C5A1">
      <w:pPr>
        <w:ind w:firstLine="420"/>
        <w:rPr>
          <w:rFonts w:hint="eastAsia" w:ascii="宋体" w:hAnsi="宋体" w:eastAsia="宋体"/>
          <w:sz w:val="24"/>
        </w:rPr>
      </w:pPr>
      <w:r>
        <w:rPr>
          <w:rFonts w:hint="eastAsia" w:ascii="宋体" w:hAnsi="宋体" w:eastAsia="宋体"/>
          <w:sz w:val="24"/>
        </w:rPr>
        <w:t>我国资本市场双向开放不断深入发展，实体企业面临的价格波动风险、汇率风险及利率风险日趋复杂化，通过运用金融衍生工具进行风险管控已从当初的“可选项”转变为如今必须做出的选择。2025年沪深300指数全年振幅达到28%，中证500指数振幅超过35%，单边持仓结构面对振荡行情将造成较大程度的净值回撤。而期权具有非对称性收益特征以及极其灵活的合约条款设计，因此成为企业构建保护性策略的首选工具。</w:t>
      </w:r>
    </w:p>
    <w:p w14:paraId="6AB5DA1B">
      <w:pPr>
        <w:ind w:firstLine="420"/>
      </w:pPr>
      <w:r>
        <w:rPr>
          <w:rFonts w:hint="eastAsia" w:ascii="宋体" w:hAnsi="宋体" w:eastAsia="宋体"/>
          <w:sz w:val="24"/>
        </w:rPr>
        <w:t>本文以华夏上证50ETF（510050）作为现货标的，依据Wind数据终端提供的2026年一季度期权市场真实报价，在模拟交易环境下，分别构造保护性看跌策略（保护性看跌）及领口策略（领口），对两种策略在不同市场情况下的保险成本、损益结构和风险管理效果进行分析，并实证探讨期权保护性策略是否可以用合理代价达到对尾部风险的有效管理，以及领口策略通过卖出看涨期权降低净保险成本的经济可行性的正确性</w:t>
      </w:r>
      <w:r>
        <w:rPr>
          <w:rFonts w:ascii="宋体" w:hAnsi="宋体" w:eastAsia="宋体"/>
          <w:sz w:val="24"/>
        </w:rPr>
        <w:t>。</w:t>
      </w:r>
    </w:p>
    <w:p w14:paraId="3EBC0AD1">
      <w:pPr>
        <w:spacing w:before="240" w:after="120"/>
        <w:ind w:firstLine="0"/>
      </w:pPr>
      <w:r>
        <w:rPr>
          <w:rFonts w:ascii="黑体" w:hAnsi="黑体" w:eastAsia="黑体"/>
          <w:b/>
          <w:sz w:val="28"/>
        </w:rPr>
        <w:t>二、理论基础</w:t>
      </w:r>
    </w:p>
    <w:p w14:paraId="0E2F0F95">
      <w:pPr>
        <w:spacing w:before="240" w:after="120"/>
        <w:ind w:firstLine="0"/>
      </w:pPr>
      <w:r>
        <w:rPr>
          <w:rFonts w:ascii="黑体" w:hAnsi="黑体" w:eastAsia="黑体"/>
          <w:b/>
          <w:sz w:val="26"/>
        </w:rPr>
        <w:t>2.1 保护性看跌策略构造原理</w:t>
      </w:r>
    </w:p>
    <w:p w14:paraId="0A83BF15">
      <w:pPr>
        <w:ind w:firstLine="420"/>
      </w:pPr>
      <w:r>
        <w:rPr>
          <w:rFonts w:ascii="宋体" w:hAnsi="宋体" w:eastAsia="宋体"/>
          <w:sz w:val="24"/>
        </w:rPr>
        <w:t>保护性看跌策略由两个头寸构成：持有标的资产现货多头，同时买入一份看跌期权。该组合的到期损益函数为：</w:t>
      </w:r>
    </w:p>
    <w:p w14:paraId="25A99E94">
      <w:pPr>
        <w:ind w:firstLine="420"/>
      </w:pPr>
      <m:oMath>
        <m:sSub>
          <m:e>
            <m:r>
              <w:rPr>
                <w:rFonts w:ascii="Cambria Math" w:hAnsi="Cambria Math"/>
              </w:rPr>
              <m:t xml:space="preserve">V</m:t>
            </m:r>
          </m:e>
          <m:sub>
            <m:r>
              <w:rPr>
                <w:rFonts w:ascii="Cambria Math" w:hAnsi="Cambria Math"/>
              </w:rPr>
              <m:t xml:space="preserve">T</m:t>
            </m:r>
          </m:sub>
        </m:sSub>
        <m:r>
          <w:rPr>
            <w:rFonts w:ascii="Cambria Math" w:hAnsi="Cambria Math"/>
          </w:rPr>
          <m:t xml:space="preserve">=</m:t>
        </m:r>
        <m:func>
          <m:fName>
            <m:r>
              <w:rPr>
                <w:rFonts w:ascii="Cambria Math" w:hAnsi="Cambria Math"/>
                <w:i w:val="0"/>
              </w:rPr>
              <m:t xml:space="preserve">max</m:t>
            </m:r>
          </m:fName>
          <m:e>
            <m:sSub>
              <m:e>
                <m:r>
                  <w:rPr>
                    <w:rFonts w:ascii="Cambria Math" w:hAnsi="Cambria Math"/>
                  </w:rPr>
                  <m:t xml:space="preserve">S</m:t>
                </m:r>
              </m:e>
              <m:sub>
                <m:r>
                  <w:rPr>
                    <w:rFonts w:ascii="Cambria Math" w:hAnsi="Cambria Math"/>
                  </w:rPr>
                  <m:t xml:space="preserve">T</m:t>
                </m:r>
              </m:sub>
            </m:sSub>
            <m:r>
              <w:rPr>
                <w:rFonts w:ascii="Cambria Math" w:hAnsi="Cambria Math"/>
              </w:rPr>
              <m:t xml:space="preserve">,</m:t>
            </m:r>
            <m:r>
              <w:rPr>
                <w:rFonts w:ascii="Cambria Math" w:hAnsi="Cambria Math"/>
              </w:rPr>
              <m:t xml:space="preserve">K</m:t>
            </m:r>
          </m:e>
        </m:func>
        <m:r>
          <w:rPr>
            <w:rFonts w:ascii="Cambria Math" w:hAnsi="Cambria Math"/>
          </w:rPr>
          <m:t xml:space="preserve">-</m:t>
        </m:r>
        <m:r>
          <w:rPr>
            <w:rFonts w:ascii="Cambria Math" w:hAnsi="Cambria Math"/>
          </w:rPr>
          <m:t xml:space="preserve">P</m:t>
        </m:r>
      </m:oMath>
      <w:r>
        <w:rPr>
          <w:rFonts w:ascii="宋体" w:hAnsi="宋体" w:eastAsia="宋体"/>
          <w:sz w:val="24"/>
          <w:szCs w:val="24"/>
        </w:rPr>
        <w:t xml:space="preserve">, 其中S_T是到期日标的的价格，K是行权价，P是看跌期权的权利金。从上面的公式可以看出，在</w:t>
      </w:r>
      <m:oMath>
        <m:sSub>
          <m:e>
            <m:r>
              <w:rPr>
                <w:rFonts w:ascii="Cambria Math" w:hAnsi="Cambria Math"/>
              </w:rPr>
              <m:t xml:space="preserve">S</m:t>
            </m:r>
          </m:e>
          <m:sub>
            <m:r>
              <w:rPr>
                <w:rFonts w:ascii="Cambria Math" w:hAnsi="Cambria Math"/>
              </w:rPr>
              <m:t xml:space="preserve">T</m:t>
            </m:r>
          </m:sub>
        </m:sSub>
        <m:r>
          <w:rPr>
            <w:rFonts w:ascii="Cambria Math" w:hAnsi="Cambria Math"/>
          </w:rPr>
          <m:t xml:space="preserve">&lt;</m:t>
        </m:r>
        <m:r>
          <w:rPr>
            <w:rFonts w:ascii="Cambria Math" w:hAnsi="Cambria Math"/>
          </w:rPr>
          <m:t xml:space="preserve">K</m:t>
        </m:r>
      </m:oMath>
      <w:r>
        <w:rPr>
          <w:rFonts w:ascii="宋体" w:hAnsi="宋体" w:eastAsia="宋体"/>
          <w:sz w:val="24"/>
          <w:szCs w:val="24"/>
        </w:rPr>
        <w:t xml:space="preserve">时，期权行权，组合价值锁定在</w:t>
      </w:r>
      <m:oMath>
        <m:r>
          <w:rPr>
            <w:rFonts w:ascii="Cambria Math" w:hAnsi="Cambria Math"/>
          </w:rPr>
          <m:t xml:space="preserve">K</m:t>
        </m:r>
        <m:r>
          <w:rPr>
            <w:rFonts w:ascii="Cambria Math" w:hAnsi="Cambria Math"/>
          </w:rPr>
          <m:t xml:space="preserve">-</m:t>
        </m:r>
        <m:r>
          <w:rPr>
            <w:rFonts w:ascii="Cambria Math" w:hAnsi="Cambria Math"/>
          </w:rPr>
          <m:t xml:space="preserve">P</m:t>
        </m:r>
      </m:oMath>
      <w:r>
        <w:rPr>
          <w:rFonts w:ascii="宋体" w:hAnsi="宋体" w:eastAsia="宋体"/>
          <w:sz w:val="24"/>
          <w:szCs w:val="24"/>
        </w:rPr>
        <w:t xml:space="preserve">；在</w:t>
      </w:r>
      <m:oMath>
        <m:sSub>
          <m:e>
            <m:r>
              <w:rPr>
                <w:rFonts w:ascii="Cambria Math" w:hAnsi="Cambria Math"/>
              </w:rPr>
              <m:t xml:space="preserve">S</m:t>
            </m:r>
          </m:e>
          <m:sub>
            <m:r>
              <w:rPr>
                <w:rFonts w:ascii="Cambria Math" w:hAnsi="Cambria Math"/>
              </w:rPr>
              <m:t xml:space="preserve">T</m:t>
            </m:r>
          </m:sub>
        </m:sSub>
        <m:r>
          <w:rPr>
            <w:rFonts w:ascii="Cambria Math" w:hAnsi="Cambria Math"/>
          </w:rPr>
          <m:t xml:space="preserve">≥</m:t>
        </m:r>
        <m:r>
          <w:rPr>
            <w:rFonts w:ascii="Cambria Math" w:hAnsi="Cambria Math"/>
          </w:rPr>
          <m:t xml:space="preserve">K</m:t>
        </m:r>
      </m:oMath>
      <w:r>
        <w:rPr>
          <w:rFonts w:ascii="宋体" w:hAnsi="宋体" w:eastAsia="宋体"/>
          <w:sz w:val="24"/>
          <w:szCs w:val="24"/>
        </w:rPr>
        <w:t xml:space="preserve">时，期权失效，组合价值等于</w:t>
      </w:r>
      <m:oMath>
        <m:sSub>
          <m:e>
            <m:r>
              <w:rPr>
                <w:rFonts w:ascii="Cambria Math" w:hAnsi="Cambria Math"/>
              </w:rPr>
              <m:t xml:space="preserve">S</m:t>
            </m:r>
          </m:e>
          <m:sub>
            <m:r>
              <w:rPr>
                <w:rFonts w:ascii="Cambria Math" w:hAnsi="Cambria Math"/>
              </w:rPr>
              <m:t xml:space="preserve">T</m:t>
            </m:r>
          </m:sub>
        </m:sSub>
        <m:r>
          <w:rPr>
            <w:rFonts w:ascii="Cambria Math" w:hAnsi="Cambria Math"/>
          </w:rPr>
          <m:t xml:space="preserve">-</m:t>
        </m:r>
        <m:r>
          <w:rPr>
            <w:rFonts w:ascii="Cambria Math" w:hAnsi="Cambria Math"/>
          </w:rPr>
          <m:t xml:space="preserve">P</m:t>
        </m:r>
      </m:oMath>
      <w:r>
        <w:rPr>
          <w:rFonts w:ascii="宋体" w:hAnsi="宋体" w:eastAsia="宋体"/>
          <w:sz w:val="24"/>
          <w:szCs w:val="24"/>
        </w:rPr>
        <w:t xml:space="preserve">。这种策略等同于通过支付权利金给自己的现货头寸买了保险，有了下行风险的承受值，但同时又保留了上涨的盈利空间。</w:t>
      </w:r>
    </w:p>
    <w:p w14:paraId="6A026321">
      <w:pPr>
        <w:spacing w:before="240" w:after="120"/>
        <w:ind w:firstLine="0"/>
      </w:pPr>
      <w:r>
        <w:rPr>
          <w:rFonts w:ascii="黑体" w:hAnsi="黑体" w:eastAsia="黑体"/>
          <w:b/>
          <w:sz w:val="26"/>
        </w:rPr>
        <w:t>2.2 领口策略构造原理</w:t>
      </w:r>
    </w:p>
    <w:p w14:paraId="401C93BE">
      <w:pPr>
        <w:ind w:firstLine="420"/>
      </w:pPr>
      <w:r>
        <w:rPr>
          <w:rFonts w:hint="eastAsia" w:ascii="宋体" w:hAnsi="宋体" w:eastAsia="宋体"/>
          <w:sz w:val="24"/>
        </w:rPr>
        <w:t>领口策略是一种基于保护性看跌的备兑开仓策略，在持有现货的基础上，先买入看跌期权，为资产提供一定的下行保护；同时卖出虚值看涨期权获取一定的权利金收入，也叫卖空看涨期权。因此就形成了“买入看跌+卖出看涨+现货多头”这样的三腿组合。由于卖出看涨期权获得的权利金C可全部或部分用来支付买入看跌期权的成本，但是要注意，这是以牺牲上行收益为代价的。到期损益函数如下</w:t>
      </w:r>
      <w:r>
        <w:rPr>
          <w:rFonts w:ascii="宋体" w:hAnsi="宋体" w:eastAsia="宋体"/>
          <w:sz w:val="24"/>
        </w:rPr>
        <w:t>：</w:t>
      </w:r>
    </w:p>
    <w:p w14:paraId="2C8CBC93">
      <w:pPr>
        <w:ind w:firstLine="420"/>
      </w:pPr>
      <m:oMath>
        <m:sSub>
          <m:e>
            <m:r>
              <w:rPr>
                <w:rFonts w:ascii="Cambria Math" w:hAnsi="Cambria Math"/>
              </w:rPr>
              <m:t xml:space="preserve">V</m:t>
            </m:r>
          </m:e>
          <m:sub>
            <m:r>
              <w:rPr>
                <w:rFonts w:ascii="Cambria Math" w:hAnsi="Cambria Math"/>
              </w:rPr>
              <m:t xml:space="preserve">T</m:t>
            </m:r>
          </m:sub>
        </m:sSub>
        <m:r>
          <w:rPr>
            <w:rFonts w:ascii="Cambria Math" w:hAnsi="Cambria Math"/>
          </w:rPr>
          <m:t xml:space="preserve">=</m:t>
        </m:r>
        <m:func>
          <m:fName>
            <m:r>
              <w:rPr>
                <w:rFonts w:ascii="Cambria Math" w:hAnsi="Cambria Math"/>
                <w:i w:val="0"/>
              </w:rPr>
              <m:t xml:space="preserve">max</m:t>
            </m:r>
          </m:fName>
          <m:e>
            <m:sSub>
              <m:e>
                <m:r>
                  <w:rPr>
                    <w:rFonts w:ascii="Cambria Math" w:hAnsi="Cambria Math"/>
                  </w:rPr>
                  <m:t xml:space="preserve">S</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K</m:t>
                </m:r>
              </m:e>
              <m:sub>
                <m:r>
                  <w:rPr>
                    <w:rFonts w:ascii="Cambria Math" w:hAnsi="Cambria Math"/>
                  </w:rPr>
                  <m:t xml:space="preserve">put</m:t>
                </m:r>
              </m:sub>
            </m:sSub>
          </m:e>
        </m:func>
        <m:r>
          <w:rPr>
            <w:rFonts w:ascii="Cambria Math" w:hAnsi="Cambria Math"/>
          </w:rPr>
          <m:t xml:space="preserve">-</m:t>
        </m:r>
        <m:sSub>
          <m:e>
            <m:r>
              <w:rPr>
                <w:rFonts w:ascii="Cambria Math" w:hAnsi="Cambria Math"/>
              </w:rPr>
              <m:t xml:space="preserve">P</m:t>
            </m:r>
          </m:e>
          <m:sub>
            <m:r>
              <w:rPr>
                <w:rFonts w:ascii="Cambria Math" w:hAnsi="Cambria Math"/>
              </w:rPr>
              <m:t xml:space="preserve">C</m:t>
            </m:r>
          </m:sub>
        </m:sSub>
        <m:r>
          <w:rPr>
            <w:rFonts w:ascii="Cambria Math" w:hAnsi="Cambria Math"/>
          </w:rPr>
          <m:t xml:space="preserve">-</m:t>
        </m:r>
        <m:func>
          <m:fName>
            <m:r>
              <w:rPr>
                <w:rFonts w:ascii="Cambria Math" w:hAnsi="Cambria Math"/>
                <w:i w:val="0"/>
              </w:rPr>
              <m:t xml:space="preserve">max</m:t>
            </m:r>
          </m:fName>
          <m:e>
            <m:sSub>
              <m:e>
                <m:r>
                  <w:rPr>
                    <w:rFonts w:ascii="Cambria Math" w:hAnsi="Cambria Math"/>
                  </w:rPr>
                  <m:t xml:space="preserve">S</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K</m:t>
                </m:r>
              </m:e>
              <m:sub>
                <m:r>
                  <w:rPr>
                    <w:rFonts w:ascii="Cambria Math" w:hAnsi="Cambria Math"/>
                  </w:rPr>
                  <m:t xml:space="preserve">call</m:t>
                </m:r>
              </m:sub>
            </m:sSub>
            <m:r>
              <w:rPr>
                <w:rFonts w:ascii="Cambria Math" w:hAnsi="Cambria Math"/>
              </w:rPr>
              <m:t xml:space="preserve">,</m:t>
            </m:r>
            <m:r>
              <w:rPr>
                <w:rFonts w:ascii="Cambria Math" w:hAnsi="Cambria Math"/>
              </w:rPr>
              <m:t xml:space="preserve">0</m:t>
            </m:r>
          </m:e>
        </m:func>
      </m:oMath>
      <w:r>
        <w:rPr>
          <w:rFonts w:ascii="宋体" w:hAnsi="宋体" w:eastAsia="宋体"/>
          <w:sz w:val="24"/>
          <w:szCs w:val="24"/>
        </w:rPr>
        <w:t xml:space="preserve">，其中</w:t>
      </w:r>
      <m:oMath>
        <m:sSub>
          <m:e>
            <m:r>
              <w:rPr>
                <w:rFonts w:ascii="Cambria Math" w:hAnsi="Cambria Math"/>
              </w:rPr>
              <m:t xml:space="preserve">S</m:t>
            </m:r>
          </m:e>
          <m:sub>
            <m:r>
              <w:rPr>
                <w:rFonts w:ascii="Cambria Math" w:hAnsi="Cambria Math"/>
              </w:rPr>
              <m:t xml:space="preserve">T</m:t>
            </m:r>
          </m:sub>
        </m:sSub>
        <m:r>
          <w:rPr>
            <w:rFonts w:ascii="Cambria Math" w:hAnsi="Cambria Math"/>
          </w:rPr>
          <m:t xml:space="preserve">∈</m:t>
        </m:r>
        <m:d>
          <m:dPr>
            <m:begChr m:val="["/>
            <m:endChr m:val="]"/>
          </m:dPr>
          <m:e>
            <m:sSub>
              <m:e>
                <m:r>
                  <w:rPr>
                    <w:rFonts w:ascii="Cambria Math" w:hAnsi="Cambria Math"/>
                  </w:rPr>
                  <m:t xml:space="preserve">K</m:t>
                </m:r>
              </m:e>
              <m:sub>
                <m:r>
                  <w:rPr>
                    <w:rFonts w:ascii="Cambria Math" w:hAnsi="Cambria Math"/>
                  </w:rPr>
                  <m:t xml:space="preserve">put</m:t>
                </m:r>
              </m:sub>
            </m:sSub>
            <m:r>
              <w:rPr>
                <w:rFonts w:ascii="Cambria Math" w:hAnsi="Cambria Math"/>
              </w:rPr>
              <m:t xml:space="preserve">,</m:t>
            </m:r>
            <m:sSub>
              <m:e>
                <m:r>
                  <w:rPr>
                    <w:rFonts w:ascii="Cambria Math" w:hAnsi="Cambria Math"/>
                  </w:rPr>
                  <m:t xml:space="preserve">K</m:t>
                </m:r>
              </m:e>
              <m:sub>
                <m:r>
                  <w:rPr>
                    <w:rFonts w:ascii="Cambria Math" w:hAnsi="Cambria Math"/>
                  </w:rPr>
                  <m:t xml:space="preserve">call</m:t>
                </m:r>
              </m:sub>
            </m:sSub>
          </m:e>
        </m:d>
      </m:oMath>
      <w:r>
        <w:rPr>
          <w:rFonts w:ascii="宋体" w:hAnsi="宋体" w:eastAsia="宋体"/>
          <w:sz w:val="24"/>
          <w:szCs w:val="24"/>
        </w:rPr>
        <w:t xml:space="preserve">，组合损益为</w:t>
      </w:r>
      <m:oMath>
        <m:sSub>
          <m:e>
            <m:r>
              <w:rPr>
                <w:rFonts w:ascii="Cambria Math" w:hAnsi="Cambria Math"/>
              </w:rPr>
              <m:t xml:space="preserve">S</m:t>
            </m:r>
          </m:e>
          <m:sub>
            <m:r>
              <w:rPr>
                <w:rFonts w:ascii="Cambria Math" w:hAnsi="Cambria Math"/>
              </w:rPr>
              <m:t xml:space="preserve">T</m:t>
            </m:r>
          </m:sub>
        </m:sSub>
        <m:r>
          <w:rPr>
            <w:rFonts w:ascii="Cambria Math" w:hAnsi="Cambria Math"/>
          </w:rPr>
          <m:t xml:space="preserve">-</m:t>
        </m:r>
        <m:sSub>
          <m:e>
            <m:r>
              <w:rPr>
                <w:rFonts w:ascii="Cambria Math" w:hAnsi="Cambria Math"/>
              </w:rPr>
              <m:t xml:space="preserve">S</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C</m:t>
            </m:r>
          </m:sub>
        </m:sSub>
      </m:oMath>
      <w:r>
        <w:rPr>
          <w:rFonts w:ascii="宋体" w:hAnsi="宋体" w:eastAsia="宋体"/>
          <w:sz w:val="24"/>
          <w:szCs w:val="24"/>
        </w:rPr>
        <w:t xml:space="preserve">；</w:t>
      </w:r>
      <m:oMath>
        <m:sSub>
          <m:e>
            <m:r>
              <w:rPr>
                <w:rFonts w:ascii="Cambria Math" w:hAnsi="Cambria Math"/>
              </w:rPr>
              <m:t xml:space="preserve">S</m:t>
            </m:r>
          </m:e>
          <m:sub>
            <m:r>
              <w:rPr>
                <w:rFonts w:ascii="Cambria Math" w:hAnsi="Cambria Math"/>
              </w:rPr>
              <m:t xml:space="preserve">T</m:t>
            </m:r>
          </m:sub>
        </m:sSub>
        <m:r>
          <w:rPr>
            <w:rFonts w:ascii="Cambria Math" w:hAnsi="Cambria Math"/>
          </w:rPr>
          <m:t xml:space="preserve">&lt;</m:t>
        </m:r>
        <m:sSub>
          <m:e>
            <m:r>
              <w:rPr>
                <w:rFonts w:ascii="Cambria Math" w:hAnsi="Cambria Math"/>
              </w:rPr>
              <m:t xml:space="preserve">K</m:t>
            </m:r>
          </m:e>
          <m:sub>
            <m:r>
              <w:rPr>
                <w:rFonts w:ascii="Cambria Math" w:hAnsi="Cambria Math"/>
              </w:rPr>
              <m:t xml:space="preserve">put</m:t>
            </m:r>
          </m:sub>
        </m:sSub>
      </m:oMath>
      <w:r>
        <w:rPr>
          <w:rFonts w:ascii="宋体" w:hAnsi="宋体" w:eastAsia="宋体"/>
          <w:sz w:val="24"/>
          <w:szCs w:val="24"/>
        </w:rPr>
        <w:t xml:space="preserve">时，有下行保护；</w:t>
      </w:r>
      <m:oMath>
        <m:sSub>
          <m:e>
            <m:r>
              <w:rPr>
                <w:rFonts w:ascii="Cambria Math" w:hAnsi="Cambria Math"/>
              </w:rPr>
              <m:t xml:space="preserve">S</m:t>
            </m:r>
          </m:e>
          <m:sub>
            <m:r>
              <w:rPr>
                <w:rFonts w:ascii="Cambria Math" w:hAnsi="Cambria Math"/>
              </w:rPr>
              <m:t xml:space="preserve">T</m:t>
            </m:r>
          </m:sub>
        </m:sSub>
        <m:r>
          <w:rPr>
            <w:rFonts w:ascii="Cambria Math" w:hAnsi="Cambria Math"/>
          </w:rPr>
          <m:t xml:space="preserve">&gt;</m:t>
        </m:r>
        <m:sSub>
          <m:e>
            <m:r>
              <w:rPr>
                <w:rFonts w:ascii="Cambria Math" w:hAnsi="Cambria Math"/>
              </w:rPr>
              <m:t xml:space="preserve">K</m:t>
            </m:r>
          </m:e>
          <m:sub>
            <m:r>
              <w:rPr>
                <w:rFonts w:ascii="Cambria Math" w:hAnsi="Cambria Math"/>
              </w:rPr>
              <m:t xml:space="preserve">call</m:t>
            </m:r>
          </m:sub>
        </m:sSub>
      </m:oMath>
      <w:r>
        <w:rPr>
          <w:rFonts w:ascii="宋体" w:hAnsi="宋体" w:eastAsia="宋体"/>
          <w:sz w:val="24"/>
          <w:szCs w:val="24"/>
        </w:rPr>
        <w:t xml:space="preserve">时，被行权履约，上行收益限于</w:t>
      </w:r>
      <m:oMath>
        <m:sSub>
          <m:e>
            <m:r>
              <w:rPr>
                <w:rFonts w:ascii="Cambria Math" w:hAnsi="Cambria Math"/>
              </w:rPr>
              <m:t xml:space="preserve">K</m:t>
            </m:r>
          </m:e>
          <m:sub>
            <m:r>
              <w:rPr>
                <w:rFonts w:ascii="Cambria Math" w:hAnsi="Cambria Math"/>
              </w:rPr>
              <m:t xml:space="preserve">call</m:t>
            </m:r>
          </m:sub>
        </m:sSub>
        <m:r>
          <w:rPr>
            <w:rFonts w:ascii="Cambria Math" w:hAnsi="Cambria Math"/>
          </w:rPr>
          <m:t xml:space="preserve">-</m:t>
        </m:r>
        <m:sSub>
          <m:e>
            <m:r>
              <w:rPr>
                <w:rFonts w:ascii="Cambria Math" w:hAnsi="Cambria Math"/>
              </w:rPr>
              <m:t xml:space="preserve">S</m:t>
            </m:r>
          </m:e>
          <m:sub>
            <m:r>
              <w:rPr>
                <w:rFonts w:ascii="Cambria Math" w:hAnsi="Cambria Math"/>
              </w:rPr>
              <m:t xml:space="preserve">0</m:t>
            </m:r>
          </m:sub>
        </m:sSub>
        <m:r>
          <w:rPr>
            <w:rFonts w:ascii="Cambria Math" w:hAnsi="Cambria Math"/>
          </w:rPr>
          <m:t xml:space="preserve">-</m:t>
        </m:r>
        <m:sSub>
          <m:e>
            <m:r>
              <w:rPr>
                <w:rFonts w:ascii="Cambria Math" w:hAnsi="Cambria Math"/>
              </w:rPr>
              <m:t xml:space="preserve">P</m:t>
            </m:r>
          </m:e>
          <m:sub>
            <m:r>
              <w:rPr>
                <w:rFonts w:ascii="Cambria Math" w:hAnsi="Cambria Math"/>
              </w:rPr>
              <m:t xml:space="preserve">C</m:t>
            </m:r>
          </m:sub>
        </m:sSub>
      </m:oMath>
      <w:r>
        <w:rPr>
          <w:rFonts w:ascii="宋体" w:hAnsi="宋体" w:eastAsia="宋体"/>
          <w:sz w:val="24"/>
          <w:szCs w:val="24"/>
        </w:rPr>
        <w:t xml:space="preserve">。因此，领口策略是一种低成本风险控制手段，也是一种Black-Scholes框架下Delta对冲的离散化近似。</w:t>
      </w:r>
    </w:p>
    <w:p w14:paraId="7659369B">
      <w:pPr>
        <w:spacing w:before="240" w:after="120"/>
        <w:ind w:firstLine="0"/>
      </w:pPr>
      <w:r>
        <w:rPr>
          <w:rFonts w:ascii="黑体" w:hAnsi="黑体" w:eastAsia="黑体"/>
          <w:b/>
          <w:sz w:val="26"/>
        </w:rPr>
        <w:t>2.3 期权定价与希腊字母</w:t>
      </w:r>
    </w:p>
    <w:p w14:paraId="22A722A8">
      <w:pPr>
        <w:ind w:firstLine="420"/>
      </w:pPr>
      <w:r>
        <w:rPr>
          <w:rFonts w:ascii="宋体" w:hAnsi="宋体" w:eastAsia="宋体"/>
          <w:sz w:val="24"/>
          <w:szCs w:val="24"/>
        </w:rPr>
        <w:t xml:space="preserve">基于Black-Scholes-Merton期权定价模型，针对无股息股票，设欧式看跌期权价格为P，则</w:t>
      </w:r>
      <m:oMath>
        <m:r>
          <w:rPr>
            <w:rFonts w:ascii="Cambria Math" w:hAnsi="Cambria Math"/>
          </w:rPr>
          <m:t xml:space="preserve">P</m:t>
        </m:r>
        <m:r>
          <w:rPr>
            <w:rFonts w:ascii="Cambria Math" w:hAnsi="Cambria Math"/>
          </w:rPr>
          <m:t xml:space="preserve">=</m:t>
        </m:r>
        <m:r>
          <w:rPr>
            <w:rFonts w:ascii="Cambria Math" w:hAnsi="Cambria Math"/>
          </w:rPr>
          <m:t xml:space="preserve">K</m:t>
        </m:r>
        <m:sSup>
          <m:e>
            <m:r>
              <w:rPr>
                <w:rFonts w:ascii="Cambria Math" w:hAnsi="Cambria Math"/>
              </w:rPr>
              <m:t xml:space="preserve">e</m:t>
            </m:r>
          </m:e>
          <m:sup>
            <m:r>
              <w:rPr>
                <w:rFonts w:ascii="Cambria Math" w:hAnsi="Cambria Math"/>
              </w:rPr>
              <m:t xml:space="preserve">-</m:t>
            </m:r>
            <m:r>
              <w:rPr>
                <w:rFonts w:ascii="Cambria Math" w:hAnsi="Cambria Math"/>
              </w:rPr>
              <m:t xml:space="preserve">r</m:t>
            </m:r>
            <m:r>
              <w:rPr>
                <w:rFonts w:ascii="Cambria Math" w:hAnsi="Cambria Math"/>
              </w:rPr>
              <m:t xml:space="preserve">T</m:t>
            </m:r>
          </m:sup>
        </m:sSup>
        <m:func>
          <m:fName>
            <m:r>
              <w:rPr>
                <w:rFonts w:ascii="Cambria Math" w:hAnsi="Cambria Math"/>
                <w:i w:val="0"/>
              </w:rPr>
              <m:t xml:space="preserve">N</m:t>
            </m:r>
          </m:fName>
          <m:e>
            <m:d>
              <m:dPr>
                <m:begChr m:val="("/>
                <m:endChr m:val=")"/>
              </m:dPr>
              <m:e>
                <m:r>
                  <w:rPr>
                    <w:rFonts w:ascii="Cambria Math" w:hAnsi="Cambria Math"/>
                  </w:rPr>
                  <m:t xml:space="preserve">-</m:t>
                </m:r>
                <m:sSub>
                  <m:e>
                    <m:r>
                      <w:rPr>
                        <w:rFonts w:ascii="Cambria Math" w:hAnsi="Cambria Math"/>
                      </w:rPr>
                      <m:t xml:space="preserve">d</m:t>
                    </m:r>
                  </m:e>
                  <m:sub>
                    <m:r>
                      <w:rPr>
                        <w:rFonts w:ascii="Cambria Math" w:hAnsi="Cambria Math"/>
                      </w:rPr>
                      <m:t xml:space="preserve">2</m:t>
                    </m:r>
                  </m:sub>
                </m:sSub>
              </m:e>
            </m:d>
          </m:e>
        </m:func>
        <m:r>
          <w:rPr>
            <w:rFonts w:ascii="Cambria Math" w:hAnsi="Cambria Math"/>
          </w:rPr>
          <m:t xml:space="preserve">-</m:t>
        </m:r>
        <m:sSub>
          <m:e>
            <m:r>
              <w:rPr>
                <w:rFonts w:ascii="Cambria Math" w:hAnsi="Cambria Math"/>
              </w:rPr>
              <m:t xml:space="preserve">S</m:t>
            </m:r>
          </m:e>
          <m:sub>
            <m:r>
              <w:rPr>
                <w:rFonts w:ascii="Cambria Math" w:hAnsi="Cambria Math"/>
              </w:rPr>
              <m:t xml:space="preserve">0</m:t>
            </m:r>
          </m:sub>
        </m:sSub>
        <m:r>
          <w:rPr>
            <w:rFonts w:ascii="Cambria Math" w:hAnsi="Cambria Math"/>
            <w:i w:val="0"/>
          </w:rPr>
          <m:t xml:space="preserve">·</m:t>
        </m:r>
        <m:func>
          <m:fName>
            <m:r>
              <w:rPr>
                <w:rFonts w:ascii="Cambria Math" w:hAnsi="Cambria Math"/>
                <w:i w:val="0"/>
              </w:rPr>
              <m:t xml:space="preserve">N</m:t>
            </m:r>
          </m:fName>
          <m:e>
            <m:d>
              <m:dPr>
                <m:begChr m:val="("/>
                <m:endChr m:val=")"/>
              </m:dPr>
              <m:e>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e>
        </m:func>
      </m:oMath>
      <w:r>
        <w:rPr>
          <w:rFonts w:ascii="宋体" w:hAnsi="宋体" w:eastAsia="宋体"/>
          <w:sz w:val="24"/>
          <w:szCs w:val="24"/>
        </w:rPr>
        <w:t xml:space="preserve">，其中</w:t>
      </w:r>
      <m:oMath>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f>
          <m:num>
            <m:d>
              <m:dPr>
                <m:begChr m:val="["/>
                <m:endChr m:val="]"/>
              </m:dPr>
              <m:e>
                <m:func>
                  <m:fName>
                    <m:r>
                      <w:rPr>
                        <w:rFonts w:ascii="Cambria Math" w:hAnsi="Cambria Math"/>
                        <w:i w:val="0"/>
                      </w:rPr>
                      <m:t xml:space="preserve">ln</m:t>
                    </m:r>
                  </m:fName>
                  <m:e>
                    <m:d>
                      <m:dPr>
                        <m:begChr m:val="("/>
                        <m:endChr m:val=")"/>
                      </m:dPr>
                      <m:e>
                        <m:sSub>
                          <m:e>
                            <m:r>
                              <w:rPr>
                                <w:rFonts w:ascii="Cambria Math" w:hAnsi="Cambria Math"/>
                              </w:rPr>
                              <m:t xml:space="preserve">S</m:t>
                            </m:r>
                          </m:e>
                          <m:sub>
                            <m:r>
                              <w:rPr>
                                <w:rFonts w:ascii="Cambria Math" w:hAnsi="Cambria Math"/>
                              </w:rPr>
                              <m:t xml:space="preserve">0</m:t>
                            </m:r>
                          </m:sub>
                        </m:sSub>
                        <m:r>
                          <w:rPr>
                            <w:rFonts w:ascii="Cambria Math" w:hAnsi="Cambria Math"/>
                          </w:rPr>
                          <m:t xml:space="preserve">/</m:t>
                        </m:r>
                        <m:r>
                          <w:rPr>
                            <w:rFonts w:ascii="Cambria Math" w:hAnsi="Cambria Math"/>
                          </w:rPr>
                          <m:t xml:space="preserve">K</m:t>
                        </m:r>
                      </m:e>
                    </m:d>
                  </m:e>
                </m:func>
                <m:r>
                  <w:rPr>
                    <w:rFonts w:ascii="Cambria Math" w:hAnsi="Cambria Math"/>
                  </w:rPr>
                  <m:t xml:space="preserve">+</m:t>
                </m:r>
                <m:d>
                  <m:dPr>
                    <m:begChr m:val="("/>
                    <m:endChr m:val=")"/>
                  </m:dPr>
                  <m:e>
                    <m:r>
                      <w:rPr>
                        <w:rFonts w:ascii="Cambria Math" w:hAnsi="Cambria Math"/>
                      </w:rPr>
                      <m:t xml:space="preserve">r</m:t>
                    </m:r>
                    <m:r>
                      <w:rPr>
                        <w:rFonts w:ascii="Cambria Math" w:hAnsi="Cambria Math"/>
                      </w:rPr>
                      <m:t xml:space="preserve">+</m:t>
                    </m:r>
                    <m:f>
                      <m:num>
                        <m:sSup>
                          <m:e>
                            <m:r>
                              <w:rPr>
                                <w:rFonts w:ascii="Cambria Math" w:hAnsi="Cambria Math"/>
                              </w:rPr>
                              <m:t xml:space="preserve">σ</m:t>
                            </m:r>
                          </m:e>
                          <m:sup>
                            <m:r>
                              <w:rPr>
                                <w:rFonts w:ascii="Cambria Math" w:hAnsi="Cambria Math"/>
                              </w:rPr>
                              <m:t xml:space="preserve">2</m:t>
                            </m:r>
                          </m:sup>
                        </m:sSup>
                      </m:num>
                      <m:den>
                        <m:r>
                          <w:rPr>
                            <w:rFonts w:ascii="Cambria Math" w:hAnsi="Cambria Math"/>
                          </w:rPr>
                          <m:t xml:space="preserve">2</m:t>
                        </m:r>
                      </m:den>
                    </m:f>
                  </m:e>
                </m:d>
                <m:r>
                  <w:rPr>
                    <w:rFonts w:ascii="Cambria Math" w:hAnsi="Cambria Math"/>
                  </w:rPr>
                  <m:t xml:space="preserve">T</m:t>
                </m:r>
              </m:e>
            </m:d>
          </m:num>
          <m:den>
            <m:r>
              <w:rPr>
                <w:rFonts w:ascii="Cambria Math" w:hAnsi="Cambria Math"/>
              </w:rPr>
              <m:t xml:space="preserve">σ</m:t>
            </m:r>
            <m:rad>
              <m:radPr/>
              <m:deg/>
              <m:e>
                <m:r>
                  <w:rPr>
                    <w:rFonts w:ascii="Cambria Math" w:hAnsi="Cambria Math"/>
                  </w:rPr>
                  <m:t xml:space="preserve">T</m:t>
                </m:r>
              </m:e>
            </m:rad>
          </m:den>
        </m:f>
      </m:oMath>
      <w:r>
        <w:rPr>
          <w:rFonts w:ascii="宋体" w:hAnsi="宋体" w:eastAsia="宋体"/>
          <w:sz w:val="24"/>
          <w:szCs w:val="24"/>
        </w:rPr>
        <w:t xml:space="preserve">，</w:t>
      </w:r>
      <m:oMath>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r>
          <w:rPr>
            <w:rFonts w:ascii="Cambria Math" w:hAnsi="Cambria Math"/>
          </w:rPr>
          <m:t xml:space="preserve">σ</m:t>
        </m:r>
        <m:rad>
          <m:radPr/>
          <m:deg/>
          <m:e>
            <m:r>
              <w:rPr>
                <w:rFonts w:ascii="Cambria Math" w:hAnsi="Cambria Math"/>
              </w:rPr>
              <m:t xml:space="preserve">T</m:t>
            </m:r>
          </m:e>
        </m:rad>
      </m:oMath>
      <w:r>
        <w:rPr>
          <w:rFonts w:ascii="宋体" w:hAnsi="宋体" w:eastAsia="宋体"/>
          <w:sz w:val="24"/>
          <w:szCs w:val="24"/>
        </w:rPr>
        <w:t xml:space="preserve">，隐含波动率σ通过牛顿-拉弗森方法由市场报价反解得到；该策略的希腊字母敞口为：保护性看跌组合</w:t>
      </w:r>
      <m:oMath>
        <m:r>
          <w:rPr>
            <w:rFonts w:ascii="Cambria Math" w:hAnsi="Cambria Math"/>
          </w:rPr>
          <m:t xml:space="preserve">Δ</m:t>
        </m:r>
        <m:r>
          <w:rPr>
            <w:rFonts w:ascii="Cambria Math" w:hAnsi="Cambria Math"/>
          </w:rPr>
          <m:t xml:space="preserve">=</m:t>
        </m:r>
        <m:r>
          <w:rPr>
            <w:rFonts w:ascii="Cambria Math" w:hAnsi="Cambria Math"/>
          </w:rPr>
          <m:t xml:space="preserve">1</m:t>
        </m:r>
        <m:r>
          <w:rPr>
            <w:rFonts w:ascii="Cambria Math" w:hAnsi="Cambria Math"/>
          </w:rPr>
          <m:t xml:space="preserve">-</m:t>
        </m:r>
        <m:func>
          <m:fName>
            <m:r>
              <w:rPr>
                <w:rFonts w:ascii="Cambria Math" w:hAnsi="Cambria Math"/>
                <w:i w:val="0"/>
              </w:rPr>
              <m:t xml:space="preserve">N</m:t>
            </m:r>
          </m:fName>
          <m:e>
            <m:d>
              <m:dPr>
                <m:begChr m:val="("/>
                <m:endChr m:val=")"/>
              </m:dPr>
              <m:e>
                <m:r>
                  <w:rPr>
                    <w:rFonts w:ascii="Cambria Math" w:hAnsi="Cambria Math"/>
                  </w:rPr>
                  <m:t xml:space="preserve">-</m:t>
                </m:r>
                <m:sSub>
                  <m:e>
                    <m:r>
                      <w:rPr>
                        <w:rFonts w:ascii="Cambria Math" w:hAnsi="Cambria Math"/>
                      </w:rPr>
                      <m:t xml:space="preserve">d</m:t>
                    </m:r>
                  </m:e>
                  <m:sub>
                    <m:r>
                      <w:rPr>
                        <w:rFonts w:ascii="Cambria Math" w:hAnsi="Cambria Math"/>
                      </w:rPr>
                      <m:t xml:space="preserve">1</m:t>
                    </m:r>
                  </m:sub>
                </m:sSub>
              </m:e>
            </m:d>
          </m:e>
        </m:func>
      </m:oMath>
      <w:r>
        <w:rPr>
          <w:rFonts w:ascii="宋体" w:hAnsi="宋体" w:eastAsia="宋体"/>
          <w:sz w:val="24"/>
          <w:szCs w:val="24"/>
        </w:rPr>
        <w:t xml:space="preserve">，</w:t>
      </w:r>
      <m:oMath>
        <m:r>
          <w:rPr>
            <w:rFonts w:ascii="Cambria Math" w:hAnsi="Cambria Math"/>
          </w:rPr>
          <m:t xml:space="preserve">Γ</m:t>
        </m:r>
        <m:r>
          <w:rPr>
            <w:rFonts w:ascii="Cambria Math" w:hAnsi="Cambria Math"/>
          </w:rPr>
          <m:t xml:space="preserve">=</m:t>
        </m:r>
        <m:sSub>
          <m:e>
            <m:r>
              <w:rPr>
                <w:rFonts w:ascii="Cambria Math" w:hAnsi="Cambria Math"/>
              </w:rPr>
              <m:t xml:space="preserve">Γ</m:t>
            </m:r>
          </m:e>
          <m:sub>
            <m:r>
              <w:rPr>
                <w:rFonts w:ascii="Cambria Math" w:hAnsi="Cambria Math"/>
              </w:rPr>
              <m:t xml:space="preserve">put</m:t>
            </m:r>
          </m:sub>
        </m:sSub>
      </m:oMath>
      <w:r>
        <w:rPr>
          <w:rFonts w:ascii="宋体" w:hAnsi="宋体" w:eastAsia="宋体"/>
          <w:sz w:val="24"/>
          <w:szCs w:val="24"/>
        </w:rPr>
        <w:t xml:space="preserve">，</w:t>
      </w:r>
      <m:oMath>
        <m:r>
          <w:rPr>
            <w:rFonts w:ascii="Cambria Math" w:hAnsi="Cambria Math"/>
          </w:rPr>
          <m:t xml:space="preserve">Θ</m:t>
        </m:r>
        <m:r>
          <w:rPr>
            <w:rFonts w:ascii="Cambria Math" w:hAnsi="Cambria Math"/>
          </w:rPr>
          <m:t xml:space="preserve">=</m:t>
        </m:r>
        <m:sSub>
          <m:e>
            <m:r>
              <w:rPr>
                <w:rFonts w:ascii="Cambria Math" w:hAnsi="Cambria Math"/>
              </w:rPr>
              <m:t xml:space="preserve">Θ</m:t>
            </m:r>
          </m:e>
          <m:sub>
            <m:r>
              <w:rPr>
                <w:rFonts w:ascii="Cambria Math" w:hAnsi="Cambria Math"/>
              </w:rPr>
              <m:t xml:space="preserve">put</m:t>
            </m:r>
          </m:sub>
        </m:sSub>
      </m:oMath>
      <w:r>
        <w:rPr>
          <w:rFonts w:ascii="宋体" w:hAnsi="宋体" w:eastAsia="宋体"/>
          <w:sz w:val="24"/>
          <w:szCs w:val="24"/>
        </w:rPr>
        <w:t xml:space="preserve">，</w:t>
      </w:r>
      <m:oMath>
        <m:r>
          <w:rPr>
            <w:rFonts w:ascii="Cambria Math" w:hAnsi="Cambria Math"/>
          </w:rPr>
          <m:t xml:space="preserve">Vega</m:t>
        </m:r>
        <m:r>
          <w:rPr>
            <w:rFonts w:ascii="Cambria Math" w:hAnsi="Cambria Math"/>
          </w:rPr>
          <m:t xml:space="preserve">=</m:t>
        </m:r>
        <m:sSub>
          <m:e>
            <m:r>
              <w:rPr>
                <w:rFonts w:ascii="Cambria Math" w:hAnsi="Cambria Math"/>
              </w:rPr>
              <m:t xml:space="preserve">Vega</m:t>
            </m:r>
          </m:e>
          <m:sub>
            <m:r>
              <w:rPr>
                <w:rFonts w:ascii="Cambria Math" w:hAnsi="Cambria Math"/>
              </w:rPr>
              <m:t xml:space="preserve">put</m:t>
            </m:r>
          </m:sub>
        </m:sSub>
      </m:oMath>
      <w:r>
        <w:rPr>
          <w:rFonts w:ascii="宋体" w:hAnsi="宋体" w:eastAsia="宋体"/>
          <w:sz w:val="24"/>
          <w:szCs w:val="24"/>
        </w:rPr>
        <w:t xml:space="preserve">；而领口策略的Delta和Gamma绝对值均较小，因此属于波动率中性偏空的头寸结构。</w:t>
      </w:r>
    </w:p>
    <w:p w14:paraId="61252876">
      <w:pPr>
        <w:spacing w:before="240" w:after="120"/>
        <w:ind w:firstLine="0"/>
      </w:pPr>
      <w:r>
        <w:rPr>
          <w:rFonts w:ascii="黑体" w:hAnsi="黑体" w:eastAsia="黑体"/>
          <w:b/>
          <w:sz w:val="28"/>
        </w:rPr>
        <w:t>三、方案设计与操作过程</w:t>
      </w:r>
    </w:p>
    <w:p w14:paraId="36D0A8E9">
      <w:pPr>
        <w:spacing w:before="240" w:after="120"/>
        <w:ind w:firstLine="0"/>
      </w:pPr>
      <w:r>
        <w:rPr>
          <w:rFonts w:ascii="黑体" w:hAnsi="黑体" w:eastAsia="黑体"/>
          <w:b/>
          <w:sz w:val="26"/>
        </w:rPr>
        <w:t>3.1 基础参数设定</w:t>
      </w:r>
    </w:p>
    <w:p w14:paraId="772D5028">
      <w:pPr>
        <w:ind w:firstLine="420"/>
      </w:pPr>
      <w:r>
        <w:rPr>
          <w:rFonts w:hint="eastAsia" w:ascii="宋体" w:hAnsi="宋体" w:eastAsia="宋体"/>
          <w:sz w:val="24"/>
        </w:rPr>
        <w:t>标的资产为华夏上证50ETF（510050），2026年3月2日收盘价2.850元；选取2026年4月到期的场内期权合约，距到期时间42个自然日，折合T=42/365≈0.1151年；无风险利率用银行间7天质押式回购利率（DR007）均值1.80%；标的波动率取近60个交易日的历史日收益率年化结果18.5%</w:t>
      </w:r>
      <w:r>
        <w:rPr>
          <w:rFonts w:ascii="宋体" w:hAnsi="宋体" w:eastAsia="宋体"/>
          <w:sz w:val="24"/>
        </w:rPr>
        <w:t>。</w:t>
      </w:r>
    </w:p>
    <w:p w14:paraId="05845C25">
      <w:pPr>
        <w:ind w:firstLine="420"/>
      </w:pPr>
      <w:r>
        <w:rPr>
          <w:rFonts w:ascii="宋体" w:hAnsi="宋体" w:eastAsia="宋体"/>
          <w:sz w:val="24"/>
        </w:rPr>
        <w:t>策略参数如下表所示：</w:t>
      </w:r>
    </w:p>
    <w:tbl>
      <w:tblPr>
        <w:tblStyle w:val="33"/>
        <w:tblW w:w="8649"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1545"/>
        <w:gridCol w:w="3525"/>
        <w:gridCol w:w="3579"/>
      </w:tblGrid>
      <w:tr w14:paraId="60A4C27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1545" w:type="dxa"/>
            <w:tcBorders>
              <w:top w:val="single" w:color="auto" w:sz="12" w:space="0"/>
              <w:left w:val="nil"/>
              <w:bottom w:val="nil"/>
              <w:right w:val="nil"/>
            </w:tcBorders>
            <w:shd w:val="clear" w:color="auto" w:fill="auto"/>
            <w:noWrap w:val="0"/>
            <w:tcMar>
              <w:top w:w="-1" w:type="dxa"/>
              <w:left w:w="-1" w:type="dxa"/>
              <w:bottom w:w="-1" w:type="dxa"/>
              <w:right w:w="-1" w:type="dxa"/>
            </w:tcMar>
            <w:vAlign w:val="top"/>
          </w:tcPr>
          <w:p w14:paraId="4C1E20DD">
            <w:pPr>
              <w:keepNext/>
              <w:snapToGrid w:val="0"/>
              <w:jc w:val="center"/>
            </w:pPr>
            <w:r>
              <w:rPr>
                <w:rFonts w:ascii="宋体" w:hAnsi="宋体" w:eastAsia="宋体"/>
                <w:b/>
                <w:sz w:val="20"/>
              </w:rPr>
              <w:t>参数项</w:t>
            </w:r>
          </w:p>
        </w:tc>
        <w:tc>
          <w:tcPr>
            <w:tcW w:w="3525" w:type="dxa"/>
            <w:tcBorders>
              <w:top w:val="single" w:color="auto" w:sz="12" w:space="0"/>
              <w:left w:val="nil"/>
              <w:bottom w:val="nil"/>
              <w:right w:val="nil"/>
            </w:tcBorders>
            <w:shd w:val="clear" w:color="auto" w:fill="auto"/>
            <w:noWrap w:val="0"/>
            <w:tcMar>
              <w:top w:w="-1" w:type="dxa"/>
              <w:left w:w="-1" w:type="dxa"/>
              <w:bottom w:w="-1" w:type="dxa"/>
              <w:right w:w="-1" w:type="dxa"/>
            </w:tcMar>
            <w:vAlign w:val="top"/>
          </w:tcPr>
          <w:p w14:paraId="389EC119">
            <w:pPr>
              <w:keepNext/>
              <w:snapToGrid w:val="0"/>
              <w:jc w:val="center"/>
            </w:pPr>
            <w:r>
              <w:rPr>
                <w:rFonts w:ascii="宋体" w:hAnsi="宋体" w:eastAsia="宋体"/>
                <w:b/>
                <w:sz w:val="20"/>
              </w:rPr>
              <w:t>保护性看跌策略</w:t>
            </w:r>
          </w:p>
        </w:tc>
        <w:tc>
          <w:tcPr>
            <w:tcW w:w="3579" w:type="dxa"/>
            <w:tcBorders>
              <w:top w:val="single" w:color="auto" w:sz="12" w:space="0"/>
              <w:left w:val="nil"/>
              <w:bottom w:val="nil"/>
              <w:right w:val="nil"/>
            </w:tcBorders>
            <w:shd w:val="clear" w:color="auto" w:fill="auto"/>
            <w:noWrap w:val="0"/>
            <w:tcMar>
              <w:top w:w="-1" w:type="dxa"/>
              <w:left w:w="-1" w:type="dxa"/>
              <w:bottom w:w="-1" w:type="dxa"/>
              <w:right w:w="-1" w:type="dxa"/>
            </w:tcMar>
            <w:vAlign w:val="top"/>
          </w:tcPr>
          <w:p w14:paraId="3989B59C">
            <w:pPr>
              <w:keepNext/>
              <w:snapToGrid w:val="0"/>
              <w:jc w:val="center"/>
            </w:pPr>
            <w:r>
              <w:rPr>
                <w:rFonts w:ascii="宋体" w:hAnsi="宋体" w:eastAsia="宋体"/>
                <w:b/>
                <w:sz w:val="20"/>
              </w:rPr>
              <w:t>领口策略</w:t>
            </w:r>
          </w:p>
        </w:tc>
      </w:tr>
      <w:tr w14:paraId="4E7B63A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1545" w:type="dxa"/>
            <w:tcBorders>
              <w:top w:val="single" w:color="auto" w:sz="4" w:space="0"/>
              <w:left w:val="nil"/>
              <w:bottom w:val="nil"/>
              <w:right w:val="nil"/>
            </w:tcBorders>
            <w:noWrap w:val="0"/>
            <w:tcMar>
              <w:top w:w="-1" w:type="dxa"/>
              <w:left w:w="-1" w:type="dxa"/>
              <w:bottom w:w="-1" w:type="dxa"/>
              <w:right w:w="-1" w:type="dxa"/>
            </w:tcMar>
            <w:vAlign w:val="top"/>
          </w:tcPr>
          <w:p w14:paraId="4E7B33DC">
            <w:pPr>
              <w:keepNext/>
              <w:snapToGrid w:val="0"/>
              <w:jc w:val="center"/>
            </w:pPr>
            <w:r>
              <w:rPr>
                <w:rFonts w:ascii="宋体" w:hAnsi="宋体" w:eastAsia="宋体"/>
                <w:sz w:val="20"/>
              </w:rPr>
              <w:t>现货建仓价格</w:t>
            </w:r>
          </w:p>
        </w:tc>
        <w:tc>
          <w:tcPr>
            <w:tcW w:w="3525" w:type="dxa"/>
            <w:tcBorders>
              <w:top w:val="single" w:color="auto" w:sz="4" w:space="0"/>
              <w:left w:val="nil"/>
              <w:bottom w:val="nil"/>
              <w:right w:val="nil"/>
            </w:tcBorders>
            <w:noWrap w:val="0"/>
            <w:tcMar>
              <w:top w:w="-1" w:type="dxa"/>
              <w:left w:w="-1" w:type="dxa"/>
              <w:bottom w:w="-1" w:type="dxa"/>
              <w:right w:w="-1" w:type="dxa"/>
            </w:tcMar>
            <w:vAlign w:val="top"/>
          </w:tcPr>
          <w:p w14:paraId="614BA4F0">
            <w:pPr>
              <w:keepNext/>
              <w:snapToGrid w:val="0"/>
              <w:jc w:val="center"/>
            </w:pPr>
            <w:r>
              <w:rPr>
                <w:rFonts w:ascii="宋体" w:hAnsi="宋体" w:eastAsia="宋体"/>
                <w:sz w:val="20"/>
              </w:rPr>
              <w:t>2.850元/份</w:t>
            </w:r>
          </w:p>
        </w:tc>
        <w:tc>
          <w:tcPr>
            <w:tcW w:w="3579" w:type="dxa"/>
            <w:tcBorders>
              <w:top w:val="single" w:color="auto" w:sz="4" w:space="0"/>
              <w:left w:val="nil"/>
              <w:bottom w:val="nil"/>
              <w:right w:val="nil"/>
            </w:tcBorders>
            <w:noWrap w:val="0"/>
            <w:tcMar>
              <w:top w:w="-1" w:type="dxa"/>
              <w:left w:w="-1" w:type="dxa"/>
              <w:bottom w:w="-1" w:type="dxa"/>
              <w:right w:w="-1" w:type="dxa"/>
            </w:tcMar>
            <w:vAlign w:val="top"/>
          </w:tcPr>
          <w:p w14:paraId="1F034F93">
            <w:pPr>
              <w:keepNext/>
              <w:snapToGrid w:val="0"/>
              <w:jc w:val="center"/>
            </w:pPr>
            <w:r>
              <w:rPr>
                <w:rFonts w:ascii="宋体" w:hAnsi="宋体" w:eastAsia="宋体"/>
                <w:sz w:val="20"/>
              </w:rPr>
              <w:t>2.850元/份</w:t>
            </w:r>
          </w:p>
        </w:tc>
      </w:tr>
      <w:tr w14:paraId="2C55F814">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1545" w:type="dxa"/>
            <w:tcBorders>
              <w:top w:val="nil"/>
              <w:left w:val="nil"/>
              <w:bottom w:val="nil"/>
              <w:right w:val="nil"/>
            </w:tcBorders>
            <w:noWrap w:val="0"/>
            <w:tcMar>
              <w:top w:w="-1" w:type="dxa"/>
              <w:left w:w="-1" w:type="dxa"/>
              <w:bottom w:w="-1" w:type="dxa"/>
              <w:right w:w="-1" w:type="dxa"/>
            </w:tcMar>
            <w:vAlign w:val="top"/>
          </w:tcPr>
          <w:p w14:paraId="4277CF6A">
            <w:pPr>
              <w:keepNext/>
              <w:snapToGrid w:val="0"/>
              <w:jc w:val="center"/>
            </w:pPr>
            <w:r>
              <w:rPr>
                <w:rFonts w:ascii="宋体" w:hAnsi="宋体" w:eastAsia="宋体"/>
                <w:sz w:val="20"/>
              </w:rPr>
              <w:t>持仓数量</w:t>
            </w:r>
          </w:p>
        </w:tc>
        <w:tc>
          <w:tcPr>
            <w:tcW w:w="3525" w:type="dxa"/>
            <w:tcBorders>
              <w:top w:val="nil"/>
              <w:left w:val="nil"/>
              <w:bottom w:val="nil"/>
              <w:right w:val="nil"/>
            </w:tcBorders>
            <w:noWrap w:val="0"/>
            <w:tcMar>
              <w:top w:w="-1" w:type="dxa"/>
              <w:left w:w="-1" w:type="dxa"/>
              <w:bottom w:w="-1" w:type="dxa"/>
              <w:right w:w="-1" w:type="dxa"/>
            </w:tcMar>
            <w:vAlign w:val="top"/>
          </w:tcPr>
          <w:p w14:paraId="5E9D2915">
            <w:pPr>
              <w:keepNext/>
              <w:snapToGrid w:val="0"/>
              <w:jc w:val="center"/>
            </w:pPr>
            <w:r>
              <w:rPr>
                <w:rFonts w:ascii="宋体" w:hAnsi="宋体" w:eastAsia="宋体"/>
                <w:sz w:val="20"/>
              </w:rPr>
              <w:t>10,000份（28500元）</w:t>
            </w:r>
          </w:p>
        </w:tc>
        <w:tc>
          <w:tcPr>
            <w:tcW w:w="3579" w:type="dxa"/>
            <w:tcBorders>
              <w:top w:val="nil"/>
              <w:left w:val="nil"/>
              <w:bottom w:val="nil"/>
              <w:right w:val="nil"/>
            </w:tcBorders>
            <w:noWrap w:val="0"/>
            <w:tcMar>
              <w:top w:w="-1" w:type="dxa"/>
              <w:left w:w="-1" w:type="dxa"/>
              <w:bottom w:w="-1" w:type="dxa"/>
              <w:right w:w="-1" w:type="dxa"/>
            </w:tcMar>
            <w:vAlign w:val="top"/>
          </w:tcPr>
          <w:p w14:paraId="062B0AF6">
            <w:pPr>
              <w:keepNext/>
              <w:snapToGrid w:val="0"/>
              <w:jc w:val="center"/>
            </w:pPr>
            <w:r>
              <w:rPr>
                <w:rFonts w:ascii="宋体" w:hAnsi="宋体" w:eastAsia="宋体"/>
                <w:sz w:val="20"/>
              </w:rPr>
              <w:t>10,000份（28500元）</w:t>
            </w:r>
          </w:p>
        </w:tc>
      </w:tr>
      <w:tr w14:paraId="50B24B9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1545" w:type="dxa"/>
            <w:tcBorders>
              <w:top w:val="nil"/>
              <w:left w:val="nil"/>
              <w:bottom w:val="nil"/>
              <w:right w:val="nil"/>
            </w:tcBorders>
            <w:noWrap w:val="0"/>
            <w:tcMar>
              <w:top w:w="-1" w:type="dxa"/>
              <w:left w:w="-1" w:type="dxa"/>
              <w:bottom w:w="-1" w:type="dxa"/>
              <w:right w:w="-1" w:type="dxa"/>
            </w:tcMar>
            <w:vAlign w:val="top"/>
          </w:tcPr>
          <w:p w14:paraId="06EF60F9">
            <w:pPr>
              <w:keepNext/>
              <w:snapToGrid w:val="0"/>
              <w:jc w:val="center"/>
            </w:pPr>
            <w:r>
              <w:rPr>
                <w:rFonts w:ascii="宋体" w:hAnsi="宋体" w:eastAsia="宋体"/>
                <w:sz w:val="20"/>
              </w:rPr>
              <w:t>买入看跌期权</w:t>
            </w:r>
          </w:p>
        </w:tc>
        <w:tc>
          <w:tcPr>
            <w:tcW w:w="3525" w:type="dxa"/>
            <w:tcBorders>
              <w:top w:val="nil"/>
              <w:left w:val="nil"/>
              <w:bottom w:val="nil"/>
              <w:right w:val="nil"/>
            </w:tcBorders>
            <w:noWrap w:val="0"/>
            <w:tcMar>
              <w:top w:w="-1" w:type="dxa"/>
              <w:left w:w="-1" w:type="dxa"/>
              <w:bottom w:w="-1" w:type="dxa"/>
              <w:right w:w="-1" w:type="dxa"/>
            </w:tcMar>
            <w:vAlign w:val="top"/>
          </w:tcPr>
          <w:p w14:paraId="2935C078">
            <w:pPr>
              <w:keepNext/>
              <w:snapToGrid w:val="0"/>
              <w:jc w:val="center"/>
            </w:pPr>
            <w:r>
              <w:rPr>
                <w:rFonts w:ascii="宋体" w:hAnsi="宋体" w:eastAsia="宋体"/>
                <w:sz w:val="20"/>
              </w:rPr>
              <w:t>行权价2.800元，权利金0.045元</w:t>
            </w:r>
          </w:p>
        </w:tc>
        <w:tc>
          <w:tcPr>
            <w:tcW w:w="3579" w:type="dxa"/>
            <w:tcBorders>
              <w:top w:val="nil"/>
              <w:left w:val="nil"/>
              <w:bottom w:val="nil"/>
              <w:right w:val="nil"/>
            </w:tcBorders>
            <w:noWrap w:val="0"/>
            <w:tcMar>
              <w:top w:w="-1" w:type="dxa"/>
              <w:left w:w="-1" w:type="dxa"/>
              <w:bottom w:w="-1" w:type="dxa"/>
              <w:right w:w="-1" w:type="dxa"/>
            </w:tcMar>
            <w:vAlign w:val="top"/>
          </w:tcPr>
          <w:p w14:paraId="303E1D55">
            <w:pPr>
              <w:keepNext/>
              <w:snapToGrid w:val="0"/>
              <w:jc w:val="center"/>
            </w:pPr>
            <w:r>
              <w:rPr>
                <w:rFonts w:ascii="宋体" w:hAnsi="宋体" w:eastAsia="宋体"/>
                <w:sz w:val="20"/>
              </w:rPr>
              <w:t>行权价2.800元，权利金0.045元</w:t>
            </w:r>
          </w:p>
        </w:tc>
      </w:tr>
      <w:tr w14:paraId="295C15F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1545" w:type="dxa"/>
            <w:tcBorders>
              <w:top w:val="nil"/>
              <w:left w:val="nil"/>
              <w:bottom w:val="nil"/>
              <w:right w:val="nil"/>
            </w:tcBorders>
            <w:noWrap w:val="0"/>
            <w:tcMar>
              <w:top w:w="-1" w:type="dxa"/>
              <w:left w:w="-1" w:type="dxa"/>
              <w:bottom w:w="-1" w:type="dxa"/>
              <w:right w:w="-1" w:type="dxa"/>
            </w:tcMar>
            <w:vAlign w:val="top"/>
          </w:tcPr>
          <w:p w14:paraId="7F358191">
            <w:pPr>
              <w:keepNext/>
              <w:snapToGrid w:val="0"/>
              <w:jc w:val="center"/>
            </w:pPr>
            <w:r>
              <w:rPr>
                <w:rFonts w:ascii="宋体" w:hAnsi="宋体" w:eastAsia="宋体"/>
                <w:sz w:val="20"/>
              </w:rPr>
              <w:t>卖出看涨期权</w:t>
            </w:r>
          </w:p>
        </w:tc>
        <w:tc>
          <w:tcPr>
            <w:tcW w:w="3525" w:type="dxa"/>
            <w:tcBorders>
              <w:top w:val="nil"/>
              <w:left w:val="nil"/>
              <w:bottom w:val="nil"/>
              <w:right w:val="nil"/>
            </w:tcBorders>
            <w:noWrap w:val="0"/>
            <w:tcMar>
              <w:top w:w="-1" w:type="dxa"/>
              <w:left w:w="-1" w:type="dxa"/>
              <w:bottom w:w="-1" w:type="dxa"/>
              <w:right w:w="-1" w:type="dxa"/>
            </w:tcMar>
            <w:vAlign w:val="top"/>
          </w:tcPr>
          <w:p w14:paraId="0E337F2D">
            <w:pPr>
              <w:keepNext/>
              <w:snapToGrid w:val="0"/>
              <w:jc w:val="center"/>
            </w:pPr>
            <w:r>
              <w:rPr>
                <w:rFonts w:ascii="宋体" w:hAnsi="宋体" w:eastAsia="宋体"/>
                <w:sz w:val="20"/>
              </w:rPr>
              <w:t>—</w:t>
            </w:r>
          </w:p>
        </w:tc>
        <w:tc>
          <w:tcPr>
            <w:tcW w:w="3579" w:type="dxa"/>
            <w:tcBorders>
              <w:top w:val="nil"/>
              <w:left w:val="nil"/>
              <w:bottom w:val="nil"/>
              <w:right w:val="nil"/>
            </w:tcBorders>
            <w:noWrap w:val="0"/>
            <w:tcMar>
              <w:top w:w="-1" w:type="dxa"/>
              <w:left w:w="-1" w:type="dxa"/>
              <w:bottom w:w="-1" w:type="dxa"/>
              <w:right w:w="-1" w:type="dxa"/>
            </w:tcMar>
            <w:vAlign w:val="top"/>
          </w:tcPr>
          <w:p w14:paraId="4D336B99">
            <w:pPr>
              <w:keepNext/>
              <w:snapToGrid w:val="0"/>
              <w:jc w:val="center"/>
            </w:pPr>
            <w:r>
              <w:rPr>
                <w:rFonts w:ascii="宋体" w:hAnsi="宋体" w:eastAsia="宋体"/>
                <w:sz w:val="20"/>
              </w:rPr>
              <w:t>行权价3.000元，权利金0.030元</w:t>
            </w:r>
          </w:p>
        </w:tc>
      </w:tr>
      <w:tr w14:paraId="43B0F3D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1545" w:type="dxa"/>
            <w:tcBorders>
              <w:top w:val="nil"/>
              <w:left w:val="nil"/>
              <w:bottom w:val="nil"/>
              <w:right w:val="nil"/>
            </w:tcBorders>
            <w:noWrap w:val="0"/>
            <w:tcMar>
              <w:top w:w="-1" w:type="dxa"/>
              <w:left w:w="-1" w:type="dxa"/>
              <w:bottom w:w="-1" w:type="dxa"/>
              <w:right w:w="-1" w:type="dxa"/>
            </w:tcMar>
            <w:vAlign w:val="top"/>
          </w:tcPr>
          <w:p w14:paraId="4C0F2DA6">
            <w:pPr>
              <w:keepNext/>
              <w:snapToGrid w:val="0"/>
              <w:jc w:val="center"/>
            </w:pPr>
            <w:r>
              <w:rPr>
                <w:rFonts w:ascii="宋体" w:hAnsi="宋体" w:eastAsia="宋体"/>
                <w:sz w:val="20"/>
              </w:rPr>
              <w:t>期权合约乘数</w:t>
            </w:r>
          </w:p>
        </w:tc>
        <w:tc>
          <w:tcPr>
            <w:tcW w:w="3525" w:type="dxa"/>
            <w:tcBorders>
              <w:top w:val="nil"/>
              <w:left w:val="nil"/>
              <w:bottom w:val="nil"/>
              <w:right w:val="nil"/>
            </w:tcBorders>
            <w:noWrap w:val="0"/>
            <w:tcMar>
              <w:top w:w="-1" w:type="dxa"/>
              <w:left w:w="-1" w:type="dxa"/>
              <w:bottom w:w="-1" w:type="dxa"/>
              <w:right w:w="-1" w:type="dxa"/>
            </w:tcMar>
            <w:vAlign w:val="top"/>
          </w:tcPr>
          <w:p w14:paraId="1247BC5D">
            <w:pPr>
              <w:keepNext/>
              <w:snapToGrid w:val="0"/>
              <w:jc w:val="center"/>
            </w:pPr>
            <w:r>
              <w:rPr>
                <w:rFonts w:ascii="宋体" w:hAnsi="宋体" w:eastAsia="宋体"/>
                <w:sz w:val="20"/>
              </w:rPr>
              <w:t>10,000份/张</w:t>
            </w:r>
          </w:p>
        </w:tc>
        <w:tc>
          <w:tcPr>
            <w:tcW w:w="3579" w:type="dxa"/>
            <w:tcBorders>
              <w:top w:val="nil"/>
              <w:left w:val="nil"/>
              <w:bottom w:val="nil"/>
              <w:right w:val="nil"/>
            </w:tcBorders>
            <w:noWrap w:val="0"/>
            <w:tcMar>
              <w:top w:w="-1" w:type="dxa"/>
              <w:left w:w="-1" w:type="dxa"/>
              <w:bottom w:w="-1" w:type="dxa"/>
              <w:right w:w="-1" w:type="dxa"/>
            </w:tcMar>
            <w:vAlign w:val="top"/>
          </w:tcPr>
          <w:p w14:paraId="7AFA1ED5">
            <w:pPr>
              <w:keepNext/>
              <w:snapToGrid w:val="0"/>
              <w:jc w:val="center"/>
            </w:pPr>
            <w:r>
              <w:rPr>
                <w:rFonts w:ascii="宋体" w:hAnsi="宋体" w:eastAsia="宋体"/>
                <w:sz w:val="20"/>
              </w:rPr>
              <w:t>10,000份/张</w:t>
            </w:r>
          </w:p>
        </w:tc>
      </w:tr>
      <w:tr w14:paraId="1C5E739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1545" w:type="dxa"/>
            <w:tcBorders>
              <w:top w:val="nil"/>
              <w:left w:val="nil"/>
              <w:bottom w:val="nil"/>
              <w:right w:val="nil"/>
            </w:tcBorders>
            <w:noWrap w:val="0"/>
            <w:tcMar>
              <w:top w:w="-1" w:type="dxa"/>
              <w:left w:w="-1" w:type="dxa"/>
              <w:bottom w:w="-1" w:type="dxa"/>
              <w:right w:w="-1" w:type="dxa"/>
            </w:tcMar>
            <w:vAlign w:val="top"/>
          </w:tcPr>
          <w:p w14:paraId="73BE8915">
            <w:pPr>
              <w:keepNext/>
              <w:snapToGrid w:val="0"/>
              <w:jc w:val="center"/>
            </w:pPr>
            <w:r>
              <w:rPr>
                <w:rFonts w:ascii="宋体" w:hAnsi="宋体" w:eastAsia="宋体"/>
                <w:sz w:val="20"/>
              </w:rPr>
              <w:t>净保险成本</w:t>
            </w:r>
          </w:p>
        </w:tc>
        <w:tc>
          <w:tcPr>
            <w:tcW w:w="3525" w:type="dxa"/>
            <w:tcBorders>
              <w:top w:val="nil"/>
              <w:left w:val="nil"/>
              <w:bottom w:val="nil"/>
              <w:right w:val="nil"/>
            </w:tcBorders>
            <w:noWrap w:val="0"/>
            <w:tcMar>
              <w:top w:w="-1" w:type="dxa"/>
              <w:left w:w="-1" w:type="dxa"/>
              <w:bottom w:w="-1" w:type="dxa"/>
              <w:right w:w="-1" w:type="dxa"/>
            </w:tcMar>
            <w:vAlign w:val="top"/>
          </w:tcPr>
          <w:p w14:paraId="26C18D33">
            <w:pPr>
              <w:keepNext/>
              <w:snapToGrid w:val="0"/>
              <w:jc w:val="center"/>
            </w:pPr>
            <w:r>
              <w:rPr>
                <w:rFonts w:ascii="宋体" w:hAnsi="宋体" w:eastAsia="宋体"/>
                <w:sz w:val="20"/>
              </w:rPr>
              <w:t>450元（0.045元×10000份）</w:t>
            </w:r>
          </w:p>
        </w:tc>
        <w:tc>
          <w:tcPr>
            <w:tcW w:w="3579" w:type="dxa"/>
            <w:tcBorders>
              <w:top w:val="nil"/>
              <w:left w:val="nil"/>
              <w:bottom w:val="nil"/>
              <w:right w:val="nil"/>
            </w:tcBorders>
            <w:noWrap w:val="0"/>
            <w:tcMar>
              <w:top w:w="-1" w:type="dxa"/>
              <w:left w:w="-1" w:type="dxa"/>
              <w:bottom w:w="-1" w:type="dxa"/>
              <w:right w:w="-1" w:type="dxa"/>
            </w:tcMar>
            <w:vAlign w:val="top"/>
          </w:tcPr>
          <w:p w14:paraId="7068C54A">
            <w:pPr>
              <w:keepNext/>
              <w:snapToGrid w:val="0"/>
              <w:jc w:val="center"/>
            </w:pPr>
            <w:r>
              <w:rPr>
                <w:rFonts w:ascii="宋体" w:hAnsi="宋体" w:eastAsia="宋体"/>
                <w:sz w:val="20"/>
              </w:rPr>
              <w:t>150元（0.015元×10000份）</w:t>
            </w:r>
          </w:p>
        </w:tc>
      </w:tr>
      <w:tr w14:paraId="1602C52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1545" w:type="dxa"/>
            <w:tcBorders>
              <w:top w:val="nil"/>
              <w:left w:val="nil"/>
              <w:bottom w:val="nil"/>
              <w:right w:val="nil"/>
            </w:tcBorders>
            <w:noWrap w:val="0"/>
            <w:tcMar>
              <w:top w:w="-1" w:type="dxa"/>
              <w:left w:w="-1" w:type="dxa"/>
              <w:bottom w:w="-1" w:type="dxa"/>
              <w:right w:w="-1" w:type="dxa"/>
            </w:tcMar>
            <w:vAlign w:val="top"/>
          </w:tcPr>
          <w:p w14:paraId="33704610">
            <w:pPr>
              <w:keepNext/>
              <w:snapToGrid w:val="0"/>
              <w:jc w:val="center"/>
            </w:pPr>
            <w:r>
              <w:rPr>
                <w:rFonts w:ascii="宋体" w:hAnsi="宋体" w:eastAsia="宋体"/>
                <w:sz w:val="20"/>
              </w:rPr>
              <w:t>最大损失</w:t>
            </w:r>
          </w:p>
        </w:tc>
        <w:tc>
          <w:tcPr>
            <w:tcW w:w="3525" w:type="dxa"/>
            <w:tcBorders>
              <w:top w:val="nil"/>
              <w:left w:val="nil"/>
              <w:bottom w:val="nil"/>
              <w:right w:val="nil"/>
            </w:tcBorders>
            <w:noWrap w:val="0"/>
            <w:tcMar>
              <w:top w:w="-1" w:type="dxa"/>
              <w:left w:w="-1" w:type="dxa"/>
              <w:bottom w:w="-1" w:type="dxa"/>
              <w:right w:w="-1" w:type="dxa"/>
            </w:tcMar>
            <w:vAlign w:val="top"/>
          </w:tcPr>
          <w:p w14:paraId="33DA4108">
            <w:pPr>
              <w:keepNext/>
              <w:snapToGrid w:val="0"/>
              <w:jc w:val="center"/>
            </w:pPr>
            <w:r>
              <w:rPr>
                <w:rFonts w:ascii="宋体" w:hAnsi="宋体" w:eastAsia="宋体"/>
                <w:sz w:val="20"/>
              </w:rPr>
              <w:t>950元（(2.85-2.80+0.045)×10000）</w:t>
            </w:r>
          </w:p>
        </w:tc>
        <w:tc>
          <w:tcPr>
            <w:tcW w:w="3579" w:type="dxa"/>
            <w:tcBorders>
              <w:top w:val="nil"/>
              <w:left w:val="nil"/>
              <w:bottom w:val="nil"/>
              <w:right w:val="nil"/>
            </w:tcBorders>
            <w:noWrap w:val="0"/>
            <w:tcMar>
              <w:top w:w="-1" w:type="dxa"/>
              <w:left w:w="-1" w:type="dxa"/>
              <w:bottom w:w="-1" w:type="dxa"/>
              <w:right w:w="-1" w:type="dxa"/>
            </w:tcMar>
            <w:vAlign w:val="top"/>
          </w:tcPr>
          <w:p w14:paraId="4744AD00">
            <w:pPr>
              <w:keepNext/>
              <w:snapToGrid w:val="0"/>
              <w:jc w:val="center"/>
            </w:pPr>
            <w:r>
              <w:rPr>
                <w:rFonts w:ascii="宋体" w:hAnsi="宋体" w:eastAsia="宋体"/>
                <w:sz w:val="20"/>
              </w:rPr>
              <w:t>200元（(2.85-2.80+0.015)×10000）</w:t>
            </w:r>
          </w:p>
        </w:tc>
      </w:tr>
      <w:tr w14:paraId="11BB64E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1545" w:type="dxa"/>
            <w:tcBorders>
              <w:top w:val="nil"/>
              <w:left w:val="nil"/>
              <w:bottom w:val="nil"/>
              <w:right w:val="nil"/>
            </w:tcBorders>
            <w:noWrap w:val="0"/>
            <w:tcMar>
              <w:top w:w="-1" w:type="dxa"/>
              <w:left w:w="-1" w:type="dxa"/>
              <w:bottom w:w="-1" w:type="dxa"/>
              <w:right w:w="-1" w:type="dxa"/>
            </w:tcMar>
            <w:vAlign w:val="top"/>
          </w:tcPr>
          <w:p w14:paraId="76DC600D">
            <w:pPr>
              <w:keepNext/>
              <w:snapToGrid w:val="0"/>
              <w:jc w:val="center"/>
            </w:pPr>
            <w:r>
              <w:rPr>
                <w:rFonts w:ascii="宋体" w:hAnsi="宋体" w:eastAsia="宋体"/>
                <w:sz w:val="20"/>
              </w:rPr>
              <w:t>最大盈利</w:t>
            </w:r>
          </w:p>
        </w:tc>
        <w:tc>
          <w:tcPr>
            <w:tcW w:w="3525" w:type="dxa"/>
            <w:tcBorders>
              <w:top w:val="nil"/>
              <w:left w:val="nil"/>
              <w:bottom w:val="nil"/>
              <w:right w:val="nil"/>
            </w:tcBorders>
            <w:noWrap w:val="0"/>
            <w:tcMar>
              <w:top w:w="-1" w:type="dxa"/>
              <w:left w:w="-1" w:type="dxa"/>
              <w:bottom w:w="-1" w:type="dxa"/>
              <w:right w:w="-1" w:type="dxa"/>
            </w:tcMar>
            <w:vAlign w:val="top"/>
          </w:tcPr>
          <w:p w14:paraId="423E5980">
            <w:pPr>
              <w:keepNext/>
              <w:snapToGrid w:val="0"/>
              <w:jc w:val="center"/>
            </w:pPr>
            <w:r>
              <w:rPr>
                <w:rFonts w:ascii="宋体" w:hAnsi="宋体" w:eastAsia="宋体"/>
                <w:sz w:val="20"/>
              </w:rPr>
              <w:t>无上限（扣除净成本）</w:t>
            </w:r>
          </w:p>
        </w:tc>
        <w:tc>
          <w:tcPr>
            <w:tcW w:w="3579" w:type="dxa"/>
            <w:tcBorders>
              <w:top w:val="nil"/>
              <w:left w:val="nil"/>
              <w:bottom w:val="nil"/>
              <w:right w:val="nil"/>
            </w:tcBorders>
            <w:noWrap w:val="0"/>
            <w:tcMar>
              <w:top w:w="-1" w:type="dxa"/>
              <w:left w:w="-1" w:type="dxa"/>
              <w:bottom w:w="-1" w:type="dxa"/>
              <w:right w:w="-1" w:type="dxa"/>
            </w:tcMar>
            <w:vAlign w:val="top"/>
          </w:tcPr>
          <w:p w14:paraId="44C34C3A">
            <w:pPr>
              <w:keepNext/>
              <w:snapToGrid w:val="0"/>
              <w:jc w:val="center"/>
            </w:pPr>
            <w:r>
              <w:rPr>
                <w:rFonts w:ascii="宋体" w:hAnsi="宋体" w:eastAsia="宋体"/>
                <w:sz w:val="20"/>
              </w:rPr>
              <w:t>1650元（(3.00-2.85-0.015)×10000）</w:t>
            </w:r>
          </w:p>
        </w:tc>
      </w:tr>
      <w:tr w14:paraId="7516A53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1545" w:type="dxa"/>
            <w:tcBorders>
              <w:top w:val="nil"/>
              <w:left w:val="nil"/>
              <w:bottom w:val="single" w:color="auto" w:sz="12" w:space="0"/>
              <w:right w:val="nil"/>
            </w:tcBorders>
            <w:noWrap w:val="0"/>
            <w:tcMar>
              <w:top w:w="-1" w:type="dxa"/>
              <w:left w:w="-1" w:type="dxa"/>
              <w:bottom w:w="-1" w:type="dxa"/>
              <w:right w:w="-1" w:type="dxa"/>
            </w:tcMar>
            <w:vAlign w:val="top"/>
          </w:tcPr>
          <w:p w14:paraId="3C3E0AC0">
            <w:pPr>
              <w:keepNext/>
              <w:snapToGrid w:val="0"/>
              <w:jc w:val="center"/>
            </w:pPr>
            <w:r>
              <w:rPr>
                <w:rFonts w:ascii="宋体" w:hAnsi="宋体" w:eastAsia="宋体"/>
                <w:sz w:val="20"/>
              </w:rPr>
              <w:t>盈亏平衡点</w:t>
            </w:r>
          </w:p>
        </w:tc>
        <w:tc>
          <w:tcPr>
            <w:tcW w:w="3525" w:type="dxa"/>
            <w:tcBorders>
              <w:top w:val="nil"/>
              <w:left w:val="nil"/>
              <w:bottom w:val="single" w:color="auto" w:sz="12" w:space="0"/>
              <w:right w:val="nil"/>
            </w:tcBorders>
            <w:noWrap w:val="0"/>
            <w:tcMar>
              <w:top w:w="-1" w:type="dxa"/>
              <w:left w:w="-1" w:type="dxa"/>
              <w:bottom w:w="-1" w:type="dxa"/>
              <w:right w:w="-1" w:type="dxa"/>
            </w:tcMar>
            <w:vAlign w:val="top"/>
          </w:tcPr>
          <w:p w14:paraId="49439F95">
            <w:pPr>
              <w:keepNext/>
              <w:snapToGrid w:val="0"/>
              <w:jc w:val="center"/>
            </w:pPr>
            <w:r>
              <w:rPr>
                <w:rFonts w:ascii="宋体" w:hAnsi="宋体" w:eastAsia="宋体"/>
                <w:sz w:val="20"/>
              </w:rPr>
              <w:t>2.895元</w:t>
            </w:r>
          </w:p>
        </w:tc>
        <w:tc>
          <w:tcPr>
            <w:tcW w:w="3579" w:type="dxa"/>
            <w:tcBorders>
              <w:top w:val="nil"/>
              <w:left w:val="nil"/>
              <w:bottom w:val="single" w:color="auto" w:sz="12" w:space="0"/>
              <w:right w:val="nil"/>
            </w:tcBorders>
            <w:noWrap w:val="0"/>
            <w:tcMar>
              <w:top w:w="-1" w:type="dxa"/>
              <w:left w:w="-1" w:type="dxa"/>
              <w:bottom w:w="-1" w:type="dxa"/>
              <w:right w:w="-1" w:type="dxa"/>
            </w:tcMar>
            <w:vAlign w:val="top"/>
          </w:tcPr>
          <w:p w14:paraId="2530FFA9">
            <w:pPr>
              <w:keepNext/>
              <w:snapToGrid w:val="0"/>
              <w:jc w:val="center"/>
            </w:pPr>
            <w:r>
              <w:rPr>
                <w:rFonts w:ascii="宋体" w:hAnsi="宋体" w:eastAsia="宋体"/>
                <w:sz w:val="20"/>
              </w:rPr>
              <w:t>2.865元</w:t>
            </w:r>
          </w:p>
        </w:tc>
      </w:tr>
    </w:tbl>
    <w:p w14:paraId="35FD1E58"/>
    <w:p w14:paraId="29A90BD9">
      <w:pPr>
        <w:spacing w:before="240" w:after="120"/>
        <w:ind w:firstLine="0"/>
      </w:pPr>
      <w:r>
        <w:rPr>
          <w:rFonts w:ascii="黑体" w:hAnsi="黑体" w:eastAsia="黑体"/>
          <w:b/>
          <w:sz w:val="26"/>
        </w:rPr>
        <w:t>3.2 模拟交易操作记录</w:t>
      </w:r>
    </w:p>
    <w:p w14:paraId="03E6A75B">
      <w:pPr>
        <w:ind w:firstLine="420"/>
        <w:rPr>
          <w:rFonts w:ascii="宋体" w:hAnsi="宋体" w:eastAsia="宋体"/>
          <w:sz w:val="24"/>
        </w:rPr>
      </w:pPr>
      <w:r>
        <w:rPr>
          <w:rFonts w:ascii="宋体" w:hAnsi="宋体" w:eastAsia="宋体"/>
          <w:sz w:val="24"/>
        </w:rPr>
        <w:t>在东方财富Choice金融终端仿真交易系统中完成三组实验：一组裸持现货（对照组），一组保护性看跌策略，一组领口策略。三组均于2026年3月2日建仓，于2026年4月15日（到期日）平仓，关键操作记录如下：</w:t>
      </w:r>
    </w:p>
    <w:p w14:paraId="109D3FD6">
      <w:pPr>
        <w:ind w:firstLine="420"/>
        <w:rPr>
          <w:rFonts w:ascii="宋体" w:hAnsi="宋体" w:eastAsia="宋体"/>
          <w:sz w:val="24"/>
        </w:rPr>
      </w:pPr>
    </w:p>
    <w:p w14:paraId="471CDBD9">
      <w:pPr>
        <w:ind w:firstLine="420"/>
        <w:rPr>
          <w:rFonts w:ascii="宋体" w:hAnsi="宋体" w:eastAsia="宋体"/>
          <w:sz w:val="24"/>
        </w:rPr>
      </w:pPr>
    </w:p>
    <w:p w14:paraId="265DA995">
      <w:pPr>
        <w:ind w:firstLine="420"/>
        <w:rPr>
          <w:rFonts w:ascii="宋体" w:hAnsi="宋体" w:eastAsia="宋体"/>
          <w:sz w:val="24"/>
        </w:rPr>
      </w:pPr>
    </w:p>
    <w:tbl>
      <w:tblPr>
        <w:tblStyle w:val="33"/>
        <w:tblW w:w="8802"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1139"/>
        <w:gridCol w:w="756"/>
        <w:gridCol w:w="737"/>
        <w:gridCol w:w="1286"/>
        <w:gridCol w:w="1136"/>
        <w:gridCol w:w="936"/>
        <w:gridCol w:w="936"/>
        <w:gridCol w:w="938"/>
        <w:gridCol w:w="938"/>
      </w:tblGrid>
      <w:tr w14:paraId="0B6D6B4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1139" w:type="dxa"/>
            <w:tcBorders>
              <w:top w:val="single" w:color="auto" w:sz="12" w:space="0"/>
              <w:left w:val="nil"/>
              <w:bottom w:val="nil"/>
              <w:right w:val="nil"/>
            </w:tcBorders>
            <w:shd w:val="clear" w:color="auto" w:fill="auto"/>
            <w:noWrap w:val="0"/>
            <w:tcMar>
              <w:top w:w="-1" w:type="dxa"/>
              <w:left w:w="-1" w:type="dxa"/>
              <w:bottom w:w="-1" w:type="dxa"/>
              <w:right w:w="-1" w:type="dxa"/>
            </w:tcMar>
            <w:vAlign w:val="center"/>
          </w:tcPr>
          <w:p w14:paraId="52F0E448">
            <w:pPr>
              <w:snapToGrid w:val="0"/>
              <w:spacing w:line="240" w:lineRule="auto"/>
              <w:ind w:left="0" w:leftChars="0" w:right="0" w:rightChars="0" w:firstLine="0" w:firstLineChars="0"/>
              <w:jc w:val="center"/>
              <w:rPr>
                <w:rFonts w:ascii="宋体" w:eastAsia="宋体"/>
                <w:b/>
                <w:sz w:val="20"/>
              </w:rPr>
            </w:pPr>
            <w:r>
              <w:rPr>
                <w:rFonts w:ascii="宋体" w:hAnsi="宋体" w:eastAsia="宋体"/>
                <w:b/>
                <w:sz w:val="20"/>
              </w:rPr>
              <w:t>交易编号</w:t>
            </w:r>
          </w:p>
        </w:tc>
        <w:tc>
          <w:tcPr>
            <w:tcW w:w="756" w:type="dxa"/>
            <w:tcBorders>
              <w:top w:val="single" w:color="auto" w:sz="12" w:space="0"/>
              <w:left w:val="nil"/>
              <w:bottom w:val="nil"/>
              <w:right w:val="nil"/>
            </w:tcBorders>
            <w:shd w:val="clear" w:color="auto" w:fill="auto"/>
            <w:noWrap w:val="0"/>
            <w:tcMar>
              <w:top w:w="-1" w:type="dxa"/>
              <w:left w:w="-1" w:type="dxa"/>
              <w:bottom w:w="-1" w:type="dxa"/>
              <w:right w:w="-1" w:type="dxa"/>
            </w:tcMar>
            <w:vAlign w:val="center"/>
          </w:tcPr>
          <w:p w14:paraId="68A9D85D">
            <w:pPr>
              <w:snapToGrid w:val="0"/>
              <w:spacing w:line="240" w:lineRule="auto"/>
              <w:ind w:left="0" w:leftChars="0" w:right="0" w:rightChars="0" w:firstLine="0" w:firstLineChars="0"/>
              <w:jc w:val="center"/>
              <w:rPr>
                <w:rFonts w:ascii="宋体" w:eastAsia="宋体"/>
                <w:b/>
                <w:sz w:val="20"/>
              </w:rPr>
            </w:pPr>
            <w:r>
              <w:rPr>
                <w:rFonts w:ascii="宋体" w:hAnsi="宋体" w:eastAsia="宋体"/>
                <w:b/>
                <w:sz w:val="20"/>
              </w:rPr>
              <w:t>日期</w:t>
            </w:r>
          </w:p>
        </w:tc>
        <w:tc>
          <w:tcPr>
            <w:tcW w:w="737" w:type="dxa"/>
            <w:tcBorders>
              <w:top w:val="single" w:color="auto" w:sz="12" w:space="0"/>
              <w:left w:val="nil"/>
              <w:bottom w:val="nil"/>
              <w:right w:val="nil"/>
            </w:tcBorders>
            <w:shd w:val="clear" w:color="auto" w:fill="auto"/>
            <w:noWrap w:val="0"/>
            <w:tcMar>
              <w:top w:w="-1" w:type="dxa"/>
              <w:left w:w="-1" w:type="dxa"/>
              <w:bottom w:w="-1" w:type="dxa"/>
              <w:right w:w="-1" w:type="dxa"/>
            </w:tcMar>
            <w:vAlign w:val="center"/>
          </w:tcPr>
          <w:p w14:paraId="14ADACA5">
            <w:pPr>
              <w:snapToGrid w:val="0"/>
              <w:spacing w:line="240" w:lineRule="auto"/>
              <w:ind w:left="0" w:leftChars="0" w:right="0" w:rightChars="0" w:firstLine="0" w:firstLineChars="0"/>
              <w:jc w:val="center"/>
              <w:rPr>
                <w:rFonts w:ascii="宋体" w:eastAsia="宋体"/>
                <w:b/>
                <w:sz w:val="20"/>
              </w:rPr>
            </w:pPr>
            <w:r>
              <w:rPr>
                <w:rFonts w:ascii="宋体" w:hAnsi="宋体" w:eastAsia="宋体"/>
                <w:b/>
                <w:sz w:val="20"/>
              </w:rPr>
              <w:t>操作</w:t>
            </w:r>
          </w:p>
        </w:tc>
        <w:tc>
          <w:tcPr>
            <w:tcW w:w="1286" w:type="dxa"/>
            <w:tcBorders>
              <w:top w:val="single" w:color="auto" w:sz="12" w:space="0"/>
              <w:left w:val="nil"/>
              <w:bottom w:val="nil"/>
              <w:right w:val="nil"/>
            </w:tcBorders>
            <w:shd w:val="clear" w:color="auto" w:fill="auto"/>
            <w:noWrap w:val="0"/>
            <w:tcMar>
              <w:top w:w="-1" w:type="dxa"/>
              <w:left w:w="-1" w:type="dxa"/>
              <w:bottom w:w="-1" w:type="dxa"/>
              <w:right w:w="-1" w:type="dxa"/>
            </w:tcMar>
            <w:vAlign w:val="center"/>
          </w:tcPr>
          <w:p w14:paraId="05767139">
            <w:pPr>
              <w:snapToGrid w:val="0"/>
              <w:spacing w:line="240" w:lineRule="auto"/>
              <w:ind w:left="0" w:leftChars="0" w:right="0" w:rightChars="0" w:firstLine="0" w:firstLineChars="0"/>
              <w:jc w:val="center"/>
              <w:rPr>
                <w:rFonts w:ascii="宋体" w:eastAsia="宋体"/>
                <w:b/>
                <w:sz w:val="20"/>
              </w:rPr>
            </w:pPr>
            <w:r>
              <w:rPr>
                <w:rFonts w:ascii="宋体" w:hAnsi="宋体" w:eastAsia="宋体"/>
                <w:b/>
                <w:sz w:val="20"/>
              </w:rPr>
              <w:t>品种/合约</w:t>
            </w:r>
          </w:p>
        </w:tc>
        <w:tc>
          <w:tcPr>
            <w:tcW w:w="1136" w:type="dxa"/>
            <w:tcBorders>
              <w:top w:val="single" w:color="auto" w:sz="12" w:space="0"/>
              <w:left w:val="nil"/>
              <w:bottom w:val="nil"/>
              <w:right w:val="nil"/>
            </w:tcBorders>
            <w:shd w:val="clear" w:color="auto" w:fill="auto"/>
            <w:noWrap w:val="0"/>
            <w:tcMar>
              <w:top w:w="-1" w:type="dxa"/>
              <w:left w:w="-1" w:type="dxa"/>
              <w:bottom w:w="-1" w:type="dxa"/>
              <w:right w:w="-1" w:type="dxa"/>
            </w:tcMar>
            <w:vAlign w:val="center"/>
          </w:tcPr>
          <w:p w14:paraId="1690770B">
            <w:pPr>
              <w:snapToGrid w:val="0"/>
              <w:spacing w:line="240" w:lineRule="auto"/>
              <w:ind w:left="0" w:leftChars="0" w:right="0" w:rightChars="0" w:firstLine="0" w:firstLineChars="0"/>
              <w:jc w:val="center"/>
              <w:rPr>
                <w:rFonts w:ascii="宋体" w:eastAsia="宋体"/>
                <w:b/>
                <w:sz w:val="20"/>
              </w:rPr>
            </w:pPr>
            <w:r>
              <w:rPr>
                <w:rFonts w:ascii="宋体" w:hAnsi="宋体" w:eastAsia="宋体"/>
                <w:b/>
                <w:sz w:val="20"/>
              </w:rPr>
              <w:t>方向</w:t>
            </w:r>
          </w:p>
        </w:tc>
        <w:tc>
          <w:tcPr>
            <w:tcW w:w="936" w:type="dxa"/>
            <w:tcBorders>
              <w:top w:val="single" w:color="auto" w:sz="12" w:space="0"/>
              <w:left w:val="nil"/>
              <w:bottom w:val="nil"/>
              <w:right w:val="nil"/>
            </w:tcBorders>
            <w:shd w:val="clear" w:color="auto" w:fill="auto"/>
            <w:noWrap w:val="0"/>
            <w:tcMar>
              <w:top w:w="-1" w:type="dxa"/>
              <w:left w:w="-1" w:type="dxa"/>
              <w:bottom w:w="-1" w:type="dxa"/>
              <w:right w:w="-1" w:type="dxa"/>
            </w:tcMar>
            <w:vAlign w:val="center"/>
          </w:tcPr>
          <w:p w14:paraId="622BFA5A">
            <w:pPr>
              <w:snapToGrid w:val="0"/>
              <w:spacing w:line="240" w:lineRule="auto"/>
              <w:ind w:left="0" w:leftChars="0" w:right="0" w:rightChars="0" w:firstLine="0" w:firstLineChars="0"/>
              <w:jc w:val="center"/>
              <w:rPr>
                <w:rFonts w:ascii="宋体" w:hAnsi="宋体" w:eastAsia="宋体"/>
                <w:b/>
                <w:sz w:val="20"/>
              </w:rPr>
            </w:pPr>
            <w:r>
              <w:rPr>
                <w:rFonts w:ascii="宋体" w:hAnsi="宋体" w:eastAsia="宋体"/>
                <w:b/>
                <w:sz w:val="20"/>
              </w:rPr>
              <w:t>价格</w:t>
            </w:r>
          </w:p>
          <w:p w14:paraId="511B1D25">
            <w:pPr>
              <w:snapToGrid w:val="0"/>
              <w:spacing w:line="240" w:lineRule="auto"/>
              <w:ind w:left="0" w:leftChars="0" w:right="0" w:rightChars="0" w:firstLine="0" w:firstLineChars="0"/>
              <w:jc w:val="center"/>
              <w:rPr>
                <w:rFonts w:ascii="宋体" w:eastAsia="宋体"/>
                <w:b/>
                <w:sz w:val="20"/>
              </w:rPr>
            </w:pPr>
            <w:r>
              <w:rPr>
                <w:rFonts w:ascii="宋体" w:hAnsi="宋体" w:eastAsia="宋体"/>
                <w:b/>
                <w:sz w:val="20"/>
              </w:rPr>
              <w:t>(元)</w:t>
            </w:r>
          </w:p>
        </w:tc>
        <w:tc>
          <w:tcPr>
            <w:tcW w:w="936" w:type="dxa"/>
            <w:tcBorders>
              <w:top w:val="single" w:color="auto" w:sz="12" w:space="0"/>
              <w:left w:val="nil"/>
              <w:bottom w:val="nil"/>
              <w:right w:val="nil"/>
            </w:tcBorders>
            <w:shd w:val="clear" w:color="auto" w:fill="auto"/>
            <w:noWrap w:val="0"/>
            <w:tcMar>
              <w:top w:w="-1" w:type="dxa"/>
              <w:left w:w="-1" w:type="dxa"/>
              <w:bottom w:w="-1" w:type="dxa"/>
              <w:right w:w="-1" w:type="dxa"/>
            </w:tcMar>
            <w:vAlign w:val="center"/>
          </w:tcPr>
          <w:p w14:paraId="2C74D9E1">
            <w:pPr>
              <w:snapToGrid w:val="0"/>
              <w:spacing w:line="240" w:lineRule="auto"/>
              <w:ind w:left="0" w:leftChars="0" w:right="0" w:rightChars="0" w:firstLine="0" w:firstLineChars="0"/>
              <w:jc w:val="center"/>
              <w:rPr>
                <w:rFonts w:ascii="宋体" w:hAnsi="宋体" w:eastAsia="宋体"/>
                <w:b/>
                <w:sz w:val="20"/>
              </w:rPr>
            </w:pPr>
            <w:r>
              <w:rPr>
                <w:rFonts w:ascii="宋体" w:hAnsi="宋体" w:eastAsia="宋体"/>
                <w:b/>
                <w:sz w:val="20"/>
              </w:rPr>
              <w:t>数量</w:t>
            </w:r>
          </w:p>
          <w:p w14:paraId="060F40DF">
            <w:pPr>
              <w:snapToGrid w:val="0"/>
              <w:spacing w:line="240" w:lineRule="auto"/>
              <w:ind w:left="0" w:leftChars="0" w:right="0" w:rightChars="0" w:firstLine="0" w:firstLineChars="0"/>
              <w:jc w:val="center"/>
              <w:rPr>
                <w:rFonts w:ascii="宋体" w:eastAsia="宋体"/>
                <w:b/>
                <w:sz w:val="20"/>
              </w:rPr>
            </w:pPr>
            <w:r>
              <w:rPr>
                <w:rFonts w:ascii="宋体" w:hAnsi="宋体" w:eastAsia="宋体"/>
                <w:b/>
                <w:sz w:val="20"/>
              </w:rPr>
              <w:t>(份)</w:t>
            </w:r>
          </w:p>
        </w:tc>
        <w:tc>
          <w:tcPr>
            <w:tcW w:w="938" w:type="dxa"/>
            <w:tcBorders>
              <w:top w:val="single" w:color="auto" w:sz="12" w:space="0"/>
              <w:left w:val="nil"/>
              <w:bottom w:val="nil"/>
              <w:right w:val="nil"/>
            </w:tcBorders>
            <w:shd w:val="clear" w:color="auto" w:fill="auto"/>
            <w:noWrap w:val="0"/>
            <w:tcMar>
              <w:top w:w="-1" w:type="dxa"/>
              <w:left w:w="-1" w:type="dxa"/>
              <w:bottom w:w="-1" w:type="dxa"/>
              <w:right w:w="-1" w:type="dxa"/>
            </w:tcMar>
            <w:vAlign w:val="center"/>
          </w:tcPr>
          <w:p w14:paraId="5B9D8D7F">
            <w:pPr>
              <w:snapToGrid w:val="0"/>
              <w:spacing w:line="240" w:lineRule="auto"/>
              <w:ind w:left="0" w:leftChars="0" w:right="0" w:rightChars="0" w:firstLine="0" w:firstLineChars="0"/>
              <w:jc w:val="center"/>
              <w:rPr>
                <w:rFonts w:ascii="宋体" w:hAnsi="宋体" w:eastAsia="宋体"/>
                <w:b/>
                <w:sz w:val="20"/>
              </w:rPr>
            </w:pPr>
            <w:r>
              <w:rPr>
                <w:rFonts w:ascii="宋体" w:hAnsi="宋体" w:eastAsia="宋体"/>
                <w:b/>
                <w:sz w:val="20"/>
              </w:rPr>
              <w:t>权利金</w:t>
            </w:r>
          </w:p>
          <w:p w14:paraId="62B57E1E">
            <w:pPr>
              <w:snapToGrid w:val="0"/>
              <w:spacing w:line="240" w:lineRule="auto"/>
              <w:ind w:left="0" w:leftChars="0" w:right="0" w:rightChars="0" w:firstLine="0" w:firstLineChars="0"/>
              <w:jc w:val="center"/>
              <w:rPr>
                <w:rFonts w:ascii="宋体" w:eastAsia="宋体"/>
                <w:b/>
                <w:sz w:val="20"/>
              </w:rPr>
            </w:pPr>
            <w:r>
              <w:rPr>
                <w:rFonts w:ascii="宋体" w:hAnsi="宋体" w:eastAsia="宋体"/>
                <w:b/>
                <w:sz w:val="20"/>
              </w:rPr>
              <w:t>(元)</w:t>
            </w:r>
          </w:p>
        </w:tc>
        <w:tc>
          <w:tcPr>
            <w:tcW w:w="938" w:type="dxa"/>
            <w:tcBorders>
              <w:top w:val="single" w:color="auto" w:sz="12" w:space="0"/>
              <w:left w:val="nil"/>
              <w:bottom w:val="nil"/>
              <w:right w:val="nil"/>
            </w:tcBorders>
            <w:shd w:val="clear" w:color="auto" w:fill="auto"/>
            <w:noWrap w:val="0"/>
            <w:tcMar>
              <w:top w:w="-1" w:type="dxa"/>
              <w:left w:w="-1" w:type="dxa"/>
              <w:bottom w:w="-1" w:type="dxa"/>
              <w:right w:w="-1" w:type="dxa"/>
            </w:tcMar>
            <w:vAlign w:val="center"/>
          </w:tcPr>
          <w:p w14:paraId="79603DB4">
            <w:pPr>
              <w:snapToGrid w:val="0"/>
              <w:spacing w:line="240" w:lineRule="auto"/>
              <w:ind w:left="0" w:leftChars="0" w:right="0" w:rightChars="0" w:firstLine="0" w:firstLineChars="0"/>
              <w:jc w:val="center"/>
              <w:rPr>
                <w:rFonts w:ascii="宋体" w:hAnsi="宋体" w:eastAsia="宋体"/>
                <w:b/>
                <w:sz w:val="20"/>
              </w:rPr>
            </w:pPr>
            <w:r>
              <w:rPr>
                <w:rFonts w:ascii="宋体" w:hAnsi="宋体" w:eastAsia="宋体"/>
                <w:b/>
                <w:sz w:val="20"/>
              </w:rPr>
              <w:t>手续费</w:t>
            </w:r>
          </w:p>
          <w:p w14:paraId="191E4DDB">
            <w:pPr>
              <w:snapToGrid w:val="0"/>
              <w:spacing w:line="240" w:lineRule="auto"/>
              <w:ind w:left="0" w:leftChars="0" w:right="0" w:rightChars="0" w:firstLine="0" w:firstLineChars="0"/>
              <w:jc w:val="center"/>
              <w:rPr>
                <w:rFonts w:ascii="宋体" w:eastAsia="宋体"/>
                <w:b/>
                <w:sz w:val="20"/>
              </w:rPr>
            </w:pPr>
            <w:r>
              <w:rPr>
                <w:rFonts w:ascii="宋体" w:hAnsi="宋体" w:eastAsia="宋体"/>
                <w:b/>
                <w:sz w:val="20"/>
              </w:rPr>
              <w:t>(元)</w:t>
            </w:r>
          </w:p>
        </w:tc>
      </w:tr>
      <w:tr w14:paraId="0F197D1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39" w:type="dxa"/>
            <w:tcBorders>
              <w:top w:val="single" w:color="auto" w:sz="4" w:space="0"/>
              <w:left w:val="nil"/>
              <w:bottom w:val="nil"/>
              <w:right w:val="nil"/>
            </w:tcBorders>
            <w:noWrap w:val="0"/>
            <w:tcMar>
              <w:top w:w="-1" w:type="dxa"/>
              <w:left w:w="-1" w:type="dxa"/>
              <w:bottom w:w="-1" w:type="dxa"/>
              <w:right w:w="-1" w:type="dxa"/>
            </w:tcMar>
            <w:vAlign w:val="center"/>
          </w:tcPr>
          <w:p w14:paraId="758397F9">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A01</w:t>
            </w:r>
          </w:p>
        </w:tc>
        <w:tc>
          <w:tcPr>
            <w:tcW w:w="756" w:type="dxa"/>
            <w:tcBorders>
              <w:top w:val="single" w:color="auto" w:sz="4" w:space="0"/>
              <w:left w:val="nil"/>
              <w:bottom w:val="nil"/>
              <w:right w:val="nil"/>
            </w:tcBorders>
            <w:noWrap w:val="0"/>
            <w:tcMar>
              <w:top w:w="-1" w:type="dxa"/>
              <w:left w:w="-1" w:type="dxa"/>
              <w:bottom w:w="-1" w:type="dxa"/>
              <w:right w:w="-1" w:type="dxa"/>
            </w:tcMar>
            <w:vAlign w:val="center"/>
          </w:tcPr>
          <w:p w14:paraId="474C3B1B">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2026-03-02</w:t>
            </w:r>
          </w:p>
        </w:tc>
        <w:tc>
          <w:tcPr>
            <w:tcW w:w="737" w:type="dxa"/>
            <w:tcBorders>
              <w:top w:val="single" w:color="auto" w:sz="4" w:space="0"/>
              <w:left w:val="nil"/>
              <w:bottom w:val="nil"/>
              <w:right w:val="nil"/>
            </w:tcBorders>
            <w:noWrap w:val="0"/>
            <w:tcMar>
              <w:top w:w="-1" w:type="dxa"/>
              <w:left w:w="-1" w:type="dxa"/>
              <w:bottom w:w="-1" w:type="dxa"/>
              <w:right w:w="-1" w:type="dxa"/>
            </w:tcMar>
            <w:vAlign w:val="center"/>
          </w:tcPr>
          <w:p w14:paraId="1ECE2387">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开仓</w:t>
            </w:r>
          </w:p>
        </w:tc>
        <w:tc>
          <w:tcPr>
            <w:tcW w:w="1286" w:type="dxa"/>
            <w:tcBorders>
              <w:top w:val="single" w:color="auto" w:sz="4" w:space="0"/>
              <w:left w:val="nil"/>
              <w:bottom w:val="nil"/>
              <w:right w:val="nil"/>
            </w:tcBorders>
            <w:noWrap w:val="0"/>
            <w:tcMar>
              <w:top w:w="-1" w:type="dxa"/>
              <w:left w:w="-1" w:type="dxa"/>
              <w:bottom w:w="-1" w:type="dxa"/>
              <w:right w:w="-1" w:type="dxa"/>
            </w:tcMar>
            <w:vAlign w:val="center"/>
          </w:tcPr>
          <w:p w14:paraId="3FDAB858">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50ETF现货</w:t>
            </w:r>
          </w:p>
        </w:tc>
        <w:tc>
          <w:tcPr>
            <w:tcW w:w="1136" w:type="dxa"/>
            <w:tcBorders>
              <w:top w:val="single" w:color="auto" w:sz="4" w:space="0"/>
              <w:left w:val="nil"/>
              <w:bottom w:val="nil"/>
              <w:right w:val="nil"/>
            </w:tcBorders>
            <w:noWrap w:val="0"/>
            <w:tcMar>
              <w:top w:w="-1" w:type="dxa"/>
              <w:left w:w="-1" w:type="dxa"/>
              <w:bottom w:w="-1" w:type="dxa"/>
              <w:right w:w="-1" w:type="dxa"/>
            </w:tcMar>
            <w:vAlign w:val="center"/>
          </w:tcPr>
          <w:p w14:paraId="541EB851">
            <w:pPr>
              <w:snapToGrid w:val="0"/>
              <w:spacing w:line="240" w:lineRule="auto"/>
              <w:ind w:left="0" w:leftChars="0" w:right="0" w:rightChars="0" w:firstLine="0" w:firstLineChars="0"/>
              <w:jc w:val="left"/>
              <w:rPr>
                <w:rFonts w:ascii="宋体" w:eastAsia="宋体"/>
                <w:sz w:val="20"/>
              </w:rPr>
            </w:pPr>
            <w:r>
              <w:rPr>
                <w:rFonts w:ascii="宋体" w:hAnsi="宋体" w:eastAsia="宋体"/>
                <w:sz w:val="20"/>
              </w:rPr>
              <w:t>买入</w:t>
            </w:r>
          </w:p>
        </w:tc>
        <w:tc>
          <w:tcPr>
            <w:tcW w:w="936" w:type="dxa"/>
            <w:tcBorders>
              <w:top w:val="single" w:color="auto" w:sz="4" w:space="0"/>
              <w:left w:val="nil"/>
              <w:bottom w:val="nil"/>
              <w:right w:val="nil"/>
            </w:tcBorders>
            <w:noWrap w:val="0"/>
            <w:tcMar>
              <w:top w:w="-1" w:type="dxa"/>
              <w:left w:w="-1" w:type="dxa"/>
              <w:bottom w:w="-1" w:type="dxa"/>
              <w:right w:w="-1" w:type="dxa"/>
            </w:tcMar>
            <w:vAlign w:val="center"/>
          </w:tcPr>
          <w:p w14:paraId="031EF05B">
            <w:pPr>
              <w:snapToGrid w:val="0"/>
              <w:spacing w:line="240" w:lineRule="auto"/>
              <w:ind w:left="0" w:leftChars="0" w:right="0" w:rightChars="0" w:firstLine="0" w:firstLineChars="0"/>
              <w:jc w:val="left"/>
              <w:rPr>
                <w:rFonts w:ascii="宋体" w:eastAsia="宋体"/>
                <w:sz w:val="20"/>
              </w:rPr>
            </w:pPr>
            <w:r>
              <w:rPr>
                <w:rFonts w:ascii="宋体" w:hAnsi="宋体" w:eastAsia="宋体"/>
                <w:sz w:val="20"/>
              </w:rPr>
              <w:t>2.850</w:t>
            </w:r>
          </w:p>
        </w:tc>
        <w:tc>
          <w:tcPr>
            <w:tcW w:w="936" w:type="dxa"/>
            <w:tcBorders>
              <w:top w:val="single" w:color="auto" w:sz="4" w:space="0"/>
              <w:left w:val="nil"/>
              <w:bottom w:val="nil"/>
              <w:right w:val="nil"/>
            </w:tcBorders>
            <w:noWrap w:val="0"/>
            <w:tcMar>
              <w:top w:w="-1" w:type="dxa"/>
              <w:left w:w="-1" w:type="dxa"/>
              <w:bottom w:w="-1" w:type="dxa"/>
              <w:right w:w="-1" w:type="dxa"/>
            </w:tcMar>
            <w:vAlign w:val="center"/>
          </w:tcPr>
          <w:p w14:paraId="01379916">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10,000</w:t>
            </w:r>
          </w:p>
        </w:tc>
        <w:tc>
          <w:tcPr>
            <w:tcW w:w="938" w:type="dxa"/>
            <w:tcBorders>
              <w:top w:val="single" w:color="auto" w:sz="4" w:space="0"/>
              <w:left w:val="nil"/>
              <w:bottom w:val="nil"/>
              <w:right w:val="nil"/>
            </w:tcBorders>
            <w:noWrap w:val="0"/>
            <w:tcMar>
              <w:top w:w="-1" w:type="dxa"/>
              <w:left w:w="-1" w:type="dxa"/>
              <w:bottom w:w="-1" w:type="dxa"/>
              <w:right w:w="-1" w:type="dxa"/>
            </w:tcMar>
            <w:vAlign w:val="center"/>
          </w:tcPr>
          <w:p w14:paraId="499A11B6">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w:t>
            </w:r>
          </w:p>
        </w:tc>
        <w:tc>
          <w:tcPr>
            <w:tcW w:w="938" w:type="dxa"/>
            <w:tcBorders>
              <w:top w:val="single" w:color="auto" w:sz="4" w:space="0"/>
              <w:left w:val="nil"/>
              <w:bottom w:val="nil"/>
              <w:right w:val="nil"/>
            </w:tcBorders>
            <w:noWrap w:val="0"/>
            <w:tcMar>
              <w:top w:w="-1" w:type="dxa"/>
              <w:left w:w="-1" w:type="dxa"/>
              <w:bottom w:w="-1" w:type="dxa"/>
              <w:right w:w="-1" w:type="dxa"/>
            </w:tcMar>
            <w:vAlign w:val="center"/>
          </w:tcPr>
          <w:p w14:paraId="2400F4E5">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5.70</w:t>
            </w:r>
          </w:p>
        </w:tc>
      </w:tr>
      <w:tr w14:paraId="2F254FF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39" w:type="dxa"/>
            <w:tcBorders>
              <w:top w:val="nil"/>
              <w:left w:val="nil"/>
              <w:bottom w:val="nil"/>
              <w:right w:val="nil"/>
            </w:tcBorders>
            <w:noWrap w:val="0"/>
            <w:tcMar>
              <w:top w:w="-1" w:type="dxa"/>
              <w:left w:w="-1" w:type="dxa"/>
              <w:bottom w:w="-1" w:type="dxa"/>
              <w:right w:w="-1" w:type="dxa"/>
            </w:tcMar>
            <w:vAlign w:val="center"/>
          </w:tcPr>
          <w:p w14:paraId="45E7AB82">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A02</w:t>
            </w:r>
          </w:p>
        </w:tc>
        <w:tc>
          <w:tcPr>
            <w:tcW w:w="756" w:type="dxa"/>
            <w:tcBorders>
              <w:top w:val="nil"/>
              <w:left w:val="nil"/>
              <w:bottom w:val="nil"/>
              <w:right w:val="nil"/>
            </w:tcBorders>
            <w:noWrap w:val="0"/>
            <w:tcMar>
              <w:top w:w="-1" w:type="dxa"/>
              <w:left w:w="-1" w:type="dxa"/>
              <w:bottom w:w="-1" w:type="dxa"/>
              <w:right w:w="-1" w:type="dxa"/>
            </w:tcMar>
            <w:vAlign w:val="center"/>
          </w:tcPr>
          <w:p w14:paraId="4D007106">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2026-03-02</w:t>
            </w:r>
          </w:p>
        </w:tc>
        <w:tc>
          <w:tcPr>
            <w:tcW w:w="737" w:type="dxa"/>
            <w:tcBorders>
              <w:top w:val="nil"/>
              <w:left w:val="nil"/>
              <w:bottom w:val="nil"/>
              <w:right w:val="nil"/>
            </w:tcBorders>
            <w:noWrap w:val="0"/>
            <w:tcMar>
              <w:top w:w="-1" w:type="dxa"/>
              <w:left w:w="-1" w:type="dxa"/>
              <w:bottom w:w="-1" w:type="dxa"/>
              <w:right w:w="-1" w:type="dxa"/>
            </w:tcMar>
            <w:vAlign w:val="center"/>
          </w:tcPr>
          <w:p w14:paraId="076658E0">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开仓</w:t>
            </w:r>
          </w:p>
        </w:tc>
        <w:tc>
          <w:tcPr>
            <w:tcW w:w="1286" w:type="dxa"/>
            <w:tcBorders>
              <w:top w:val="nil"/>
              <w:left w:val="nil"/>
              <w:bottom w:val="nil"/>
              <w:right w:val="nil"/>
            </w:tcBorders>
            <w:noWrap w:val="0"/>
            <w:tcMar>
              <w:top w:w="-1" w:type="dxa"/>
              <w:left w:w="-1" w:type="dxa"/>
              <w:bottom w:w="-1" w:type="dxa"/>
              <w:right w:w="-1" w:type="dxa"/>
            </w:tcMar>
            <w:vAlign w:val="center"/>
          </w:tcPr>
          <w:p w14:paraId="1FEEE719">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50ETF沽4月2800</w:t>
            </w:r>
          </w:p>
        </w:tc>
        <w:tc>
          <w:tcPr>
            <w:tcW w:w="1136" w:type="dxa"/>
            <w:tcBorders>
              <w:top w:val="nil"/>
              <w:left w:val="nil"/>
              <w:bottom w:val="nil"/>
              <w:right w:val="nil"/>
            </w:tcBorders>
            <w:noWrap w:val="0"/>
            <w:tcMar>
              <w:top w:w="-1" w:type="dxa"/>
              <w:left w:w="-1" w:type="dxa"/>
              <w:bottom w:w="-1" w:type="dxa"/>
              <w:right w:w="-1" w:type="dxa"/>
            </w:tcMar>
            <w:vAlign w:val="center"/>
          </w:tcPr>
          <w:p w14:paraId="0BF33E66">
            <w:pPr>
              <w:snapToGrid w:val="0"/>
              <w:spacing w:line="240" w:lineRule="auto"/>
              <w:ind w:left="0" w:leftChars="0" w:right="0" w:rightChars="0" w:firstLine="0" w:firstLineChars="0"/>
              <w:jc w:val="left"/>
              <w:rPr>
                <w:rFonts w:ascii="宋体" w:eastAsia="宋体"/>
                <w:sz w:val="20"/>
              </w:rPr>
            </w:pPr>
            <w:r>
              <w:rPr>
                <w:rFonts w:ascii="宋体" w:hAnsi="宋体" w:eastAsia="宋体"/>
                <w:sz w:val="20"/>
              </w:rPr>
              <w:t>买入</w:t>
            </w:r>
          </w:p>
        </w:tc>
        <w:tc>
          <w:tcPr>
            <w:tcW w:w="936" w:type="dxa"/>
            <w:tcBorders>
              <w:top w:val="nil"/>
              <w:left w:val="nil"/>
              <w:bottom w:val="nil"/>
              <w:right w:val="nil"/>
            </w:tcBorders>
            <w:noWrap w:val="0"/>
            <w:tcMar>
              <w:top w:w="-1" w:type="dxa"/>
              <w:left w:w="-1" w:type="dxa"/>
              <w:bottom w:w="-1" w:type="dxa"/>
              <w:right w:w="-1" w:type="dxa"/>
            </w:tcMar>
            <w:vAlign w:val="center"/>
          </w:tcPr>
          <w:p w14:paraId="4386C693">
            <w:pPr>
              <w:snapToGrid w:val="0"/>
              <w:spacing w:line="240" w:lineRule="auto"/>
              <w:ind w:left="0" w:leftChars="0" w:right="0" w:rightChars="0" w:firstLine="0" w:firstLineChars="0"/>
              <w:jc w:val="left"/>
              <w:rPr>
                <w:rFonts w:ascii="宋体" w:eastAsia="宋体"/>
                <w:sz w:val="20"/>
              </w:rPr>
            </w:pPr>
            <w:r>
              <w:rPr>
                <w:rFonts w:ascii="宋体" w:hAnsi="宋体" w:eastAsia="宋体"/>
                <w:sz w:val="20"/>
              </w:rPr>
              <w:t>0.0450</w:t>
            </w:r>
          </w:p>
        </w:tc>
        <w:tc>
          <w:tcPr>
            <w:tcW w:w="936" w:type="dxa"/>
            <w:tcBorders>
              <w:top w:val="nil"/>
              <w:left w:val="nil"/>
              <w:bottom w:val="nil"/>
              <w:right w:val="nil"/>
            </w:tcBorders>
            <w:noWrap w:val="0"/>
            <w:tcMar>
              <w:top w:w="-1" w:type="dxa"/>
              <w:left w:w="-1" w:type="dxa"/>
              <w:bottom w:w="-1" w:type="dxa"/>
              <w:right w:w="-1" w:type="dxa"/>
            </w:tcMar>
            <w:vAlign w:val="center"/>
          </w:tcPr>
          <w:p w14:paraId="08DD38B4">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10,000</w:t>
            </w:r>
          </w:p>
        </w:tc>
        <w:tc>
          <w:tcPr>
            <w:tcW w:w="938" w:type="dxa"/>
            <w:tcBorders>
              <w:top w:val="nil"/>
              <w:left w:val="nil"/>
              <w:bottom w:val="nil"/>
              <w:right w:val="nil"/>
            </w:tcBorders>
            <w:noWrap w:val="0"/>
            <w:tcMar>
              <w:top w:w="-1" w:type="dxa"/>
              <w:left w:w="-1" w:type="dxa"/>
              <w:bottom w:w="-1" w:type="dxa"/>
              <w:right w:w="-1" w:type="dxa"/>
            </w:tcMar>
            <w:vAlign w:val="center"/>
          </w:tcPr>
          <w:p w14:paraId="164A5113">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-450</w:t>
            </w:r>
          </w:p>
        </w:tc>
        <w:tc>
          <w:tcPr>
            <w:tcW w:w="938" w:type="dxa"/>
            <w:tcBorders>
              <w:top w:val="nil"/>
              <w:left w:val="nil"/>
              <w:bottom w:val="nil"/>
              <w:right w:val="nil"/>
            </w:tcBorders>
            <w:noWrap w:val="0"/>
            <w:tcMar>
              <w:top w:w="-1" w:type="dxa"/>
              <w:left w:w="-1" w:type="dxa"/>
              <w:bottom w:w="-1" w:type="dxa"/>
              <w:right w:w="-1" w:type="dxa"/>
            </w:tcMar>
            <w:vAlign w:val="center"/>
          </w:tcPr>
          <w:p w14:paraId="3B2D3829">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5.00</w:t>
            </w:r>
          </w:p>
        </w:tc>
      </w:tr>
      <w:tr w14:paraId="0496CC0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39" w:type="dxa"/>
            <w:tcBorders>
              <w:top w:val="nil"/>
              <w:left w:val="nil"/>
              <w:bottom w:val="nil"/>
              <w:right w:val="nil"/>
            </w:tcBorders>
            <w:noWrap w:val="0"/>
            <w:tcMar>
              <w:top w:w="-1" w:type="dxa"/>
              <w:left w:w="-1" w:type="dxa"/>
              <w:bottom w:w="-1" w:type="dxa"/>
              <w:right w:w="-1" w:type="dxa"/>
            </w:tcMar>
            <w:vAlign w:val="center"/>
          </w:tcPr>
          <w:p w14:paraId="3AACD603">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A03</w:t>
            </w:r>
          </w:p>
        </w:tc>
        <w:tc>
          <w:tcPr>
            <w:tcW w:w="756" w:type="dxa"/>
            <w:tcBorders>
              <w:top w:val="nil"/>
              <w:left w:val="nil"/>
              <w:bottom w:val="nil"/>
              <w:right w:val="nil"/>
            </w:tcBorders>
            <w:noWrap w:val="0"/>
            <w:tcMar>
              <w:top w:w="-1" w:type="dxa"/>
              <w:left w:w="-1" w:type="dxa"/>
              <w:bottom w:w="-1" w:type="dxa"/>
              <w:right w:w="-1" w:type="dxa"/>
            </w:tcMar>
            <w:vAlign w:val="center"/>
          </w:tcPr>
          <w:p w14:paraId="48512CB6">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2026-04-15</w:t>
            </w:r>
          </w:p>
        </w:tc>
        <w:tc>
          <w:tcPr>
            <w:tcW w:w="737" w:type="dxa"/>
            <w:tcBorders>
              <w:top w:val="nil"/>
              <w:left w:val="nil"/>
              <w:bottom w:val="nil"/>
              <w:right w:val="nil"/>
            </w:tcBorders>
            <w:noWrap w:val="0"/>
            <w:tcMar>
              <w:top w:w="-1" w:type="dxa"/>
              <w:left w:w="-1" w:type="dxa"/>
              <w:bottom w:w="-1" w:type="dxa"/>
              <w:right w:w="-1" w:type="dxa"/>
            </w:tcMar>
            <w:vAlign w:val="center"/>
          </w:tcPr>
          <w:p w14:paraId="61BD65E5">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平仓</w:t>
            </w:r>
          </w:p>
        </w:tc>
        <w:tc>
          <w:tcPr>
            <w:tcW w:w="1286" w:type="dxa"/>
            <w:tcBorders>
              <w:top w:val="nil"/>
              <w:left w:val="nil"/>
              <w:bottom w:val="nil"/>
              <w:right w:val="nil"/>
            </w:tcBorders>
            <w:noWrap w:val="0"/>
            <w:tcMar>
              <w:top w:w="-1" w:type="dxa"/>
              <w:left w:w="-1" w:type="dxa"/>
              <w:bottom w:w="-1" w:type="dxa"/>
              <w:right w:w="-1" w:type="dxa"/>
            </w:tcMar>
            <w:vAlign w:val="center"/>
          </w:tcPr>
          <w:p w14:paraId="67A00061">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50ETF现货</w:t>
            </w:r>
          </w:p>
        </w:tc>
        <w:tc>
          <w:tcPr>
            <w:tcW w:w="1136" w:type="dxa"/>
            <w:tcBorders>
              <w:top w:val="nil"/>
              <w:left w:val="nil"/>
              <w:bottom w:val="nil"/>
              <w:right w:val="nil"/>
            </w:tcBorders>
            <w:noWrap w:val="0"/>
            <w:tcMar>
              <w:top w:w="-1" w:type="dxa"/>
              <w:left w:w="-1" w:type="dxa"/>
              <w:bottom w:w="-1" w:type="dxa"/>
              <w:right w:w="-1" w:type="dxa"/>
            </w:tcMar>
            <w:vAlign w:val="center"/>
          </w:tcPr>
          <w:p w14:paraId="3557EAD9">
            <w:pPr>
              <w:snapToGrid w:val="0"/>
              <w:spacing w:line="240" w:lineRule="auto"/>
              <w:ind w:left="0" w:leftChars="0" w:right="0" w:rightChars="0" w:firstLine="0" w:firstLineChars="0"/>
              <w:jc w:val="left"/>
              <w:rPr>
                <w:rFonts w:ascii="宋体" w:eastAsia="宋体"/>
                <w:sz w:val="20"/>
              </w:rPr>
            </w:pPr>
            <w:r>
              <w:rPr>
                <w:rFonts w:ascii="宋体" w:hAnsi="宋体" w:eastAsia="宋体"/>
                <w:sz w:val="20"/>
              </w:rPr>
              <w:t>卖出</w:t>
            </w:r>
          </w:p>
        </w:tc>
        <w:tc>
          <w:tcPr>
            <w:tcW w:w="936" w:type="dxa"/>
            <w:tcBorders>
              <w:top w:val="nil"/>
              <w:left w:val="nil"/>
              <w:bottom w:val="nil"/>
              <w:right w:val="nil"/>
            </w:tcBorders>
            <w:noWrap w:val="0"/>
            <w:tcMar>
              <w:top w:w="-1" w:type="dxa"/>
              <w:left w:w="-1" w:type="dxa"/>
              <w:bottom w:w="-1" w:type="dxa"/>
              <w:right w:w="-1" w:type="dxa"/>
            </w:tcMar>
            <w:vAlign w:val="center"/>
          </w:tcPr>
          <w:p w14:paraId="1344BFB7">
            <w:pPr>
              <w:snapToGrid w:val="0"/>
              <w:spacing w:line="240" w:lineRule="auto"/>
              <w:ind w:left="0" w:leftChars="0" w:right="0" w:rightChars="0" w:firstLine="0" w:firstLineChars="0"/>
              <w:jc w:val="left"/>
              <w:rPr>
                <w:rFonts w:ascii="宋体" w:eastAsia="宋体"/>
                <w:sz w:val="20"/>
              </w:rPr>
            </w:pPr>
            <w:r>
              <w:rPr>
                <w:rFonts w:ascii="宋体" w:hAnsi="宋体" w:eastAsia="宋体"/>
                <w:sz w:val="20"/>
              </w:rPr>
              <w:t>2.680</w:t>
            </w:r>
          </w:p>
        </w:tc>
        <w:tc>
          <w:tcPr>
            <w:tcW w:w="936" w:type="dxa"/>
            <w:tcBorders>
              <w:top w:val="nil"/>
              <w:left w:val="nil"/>
              <w:bottom w:val="nil"/>
              <w:right w:val="nil"/>
            </w:tcBorders>
            <w:noWrap w:val="0"/>
            <w:tcMar>
              <w:top w:w="-1" w:type="dxa"/>
              <w:left w:w="-1" w:type="dxa"/>
              <w:bottom w:w="-1" w:type="dxa"/>
              <w:right w:w="-1" w:type="dxa"/>
            </w:tcMar>
            <w:vAlign w:val="center"/>
          </w:tcPr>
          <w:p w14:paraId="7FE57908">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10,000</w:t>
            </w:r>
          </w:p>
        </w:tc>
        <w:tc>
          <w:tcPr>
            <w:tcW w:w="938" w:type="dxa"/>
            <w:tcBorders>
              <w:top w:val="nil"/>
              <w:left w:val="nil"/>
              <w:bottom w:val="nil"/>
              <w:right w:val="nil"/>
            </w:tcBorders>
            <w:noWrap w:val="0"/>
            <w:tcMar>
              <w:top w:w="-1" w:type="dxa"/>
              <w:left w:w="-1" w:type="dxa"/>
              <w:bottom w:w="-1" w:type="dxa"/>
              <w:right w:w="-1" w:type="dxa"/>
            </w:tcMar>
            <w:vAlign w:val="center"/>
          </w:tcPr>
          <w:p w14:paraId="41ADAB5A">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w:t>
            </w:r>
          </w:p>
        </w:tc>
        <w:tc>
          <w:tcPr>
            <w:tcW w:w="938" w:type="dxa"/>
            <w:tcBorders>
              <w:top w:val="nil"/>
              <w:left w:val="nil"/>
              <w:bottom w:val="nil"/>
              <w:right w:val="nil"/>
            </w:tcBorders>
            <w:noWrap w:val="0"/>
            <w:tcMar>
              <w:top w:w="-1" w:type="dxa"/>
              <w:left w:w="-1" w:type="dxa"/>
              <w:bottom w:w="-1" w:type="dxa"/>
              <w:right w:w="-1" w:type="dxa"/>
            </w:tcMar>
            <w:vAlign w:val="center"/>
          </w:tcPr>
          <w:p w14:paraId="17780503">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5.36</w:t>
            </w:r>
          </w:p>
        </w:tc>
      </w:tr>
      <w:tr w14:paraId="439440F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39" w:type="dxa"/>
            <w:tcBorders>
              <w:top w:val="nil"/>
              <w:left w:val="nil"/>
              <w:bottom w:val="nil"/>
              <w:right w:val="nil"/>
            </w:tcBorders>
            <w:noWrap w:val="0"/>
            <w:tcMar>
              <w:top w:w="-1" w:type="dxa"/>
              <w:left w:w="-1" w:type="dxa"/>
              <w:bottom w:w="-1" w:type="dxa"/>
              <w:right w:w="-1" w:type="dxa"/>
            </w:tcMar>
            <w:vAlign w:val="center"/>
          </w:tcPr>
          <w:p w14:paraId="027867D3">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A04</w:t>
            </w:r>
          </w:p>
        </w:tc>
        <w:tc>
          <w:tcPr>
            <w:tcW w:w="756" w:type="dxa"/>
            <w:tcBorders>
              <w:top w:val="nil"/>
              <w:left w:val="nil"/>
              <w:bottom w:val="nil"/>
              <w:right w:val="nil"/>
            </w:tcBorders>
            <w:noWrap w:val="0"/>
            <w:tcMar>
              <w:top w:w="-1" w:type="dxa"/>
              <w:left w:w="-1" w:type="dxa"/>
              <w:bottom w:w="-1" w:type="dxa"/>
              <w:right w:w="-1" w:type="dxa"/>
            </w:tcMar>
            <w:vAlign w:val="center"/>
          </w:tcPr>
          <w:p w14:paraId="0CE4C59F">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2026-04-15</w:t>
            </w:r>
          </w:p>
        </w:tc>
        <w:tc>
          <w:tcPr>
            <w:tcW w:w="737" w:type="dxa"/>
            <w:tcBorders>
              <w:top w:val="nil"/>
              <w:left w:val="nil"/>
              <w:bottom w:val="nil"/>
              <w:right w:val="nil"/>
            </w:tcBorders>
            <w:noWrap w:val="0"/>
            <w:tcMar>
              <w:top w:w="-1" w:type="dxa"/>
              <w:left w:w="-1" w:type="dxa"/>
              <w:bottom w:w="-1" w:type="dxa"/>
              <w:right w:w="-1" w:type="dxa"/>
            </w:tcMar>
            <w:vAlign w:val="center"/>
          </w:tcPr>
          <w:p w14:paraId="129E806C">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行权</w:t>
            </w:r>
          </w:p>
        </w:tc>
        <w:tc>
          <w:tcPr>
            <w:tcW w:w="1286" w:type="dxa"/>
            <w:tcBorders>
              <w:top w:val="nil"/>
              <w:left w:val="nil"/>
              <w:bottom w:val="nil"/>
              <w:right w:val="nil"/>
            </w:tcBorders>
            <w:noWrap w:val="0"/>
            <w:tcMar>
              <w:top w:w="-1" w:type="dxa"/>
              <w:left w:w="-1" w:type="dxa"/>
              <w:bottom w:w="-1" w:type="dxa"/>
              <w:right w:w="-1" w:type="dxa"/>
            </w:tcMar>
            <w:vAlign w:val="center"/>
          </w:tcPr>
          <w:p w14:paraId="63D901EF">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50ETF沽4月2800</w:t>
            </w:r>
          </w:p>
        </w:tc>
        <w:tc>
          <w:tcPr>
            <w:tcW w:w="1136" w:type="dxa"/>
            <w:tcBorders>
              <w:top w:val="nil"/>
              <w:left w:val="nil"/>
              <w:bottom w:val="nil"/>
              <w:right w:val="nil"/>
            </w:tcBorders>
            <w:noWrap w:val="0"/>
            <w:tcMar>
              <w:top w:w="-1" w:type="dxa"/>
              <w:left w:w="-1" w:type="dxa"/>
              <w:bottom w:w="-1" w:type="dxa"/>
              <w:right w:w="-1" w:type="dxa"/>
            </w:tcMar>
            <w:vAlign w:val="center"/>
          </w:tcPr>
          <w:p w14:paraId="6CC1240F">
            <w:pPr>
              <w:snapToGrid w:val="0"/>
              <w:spacing w:line="240" w:lineRule="auto"/>
              <w:ind w:left="0" w:leftChars="0" w:right="0" w:rightChars="0" w:firstLine="0" w:firstLineChars="0"/>
              <w:jc w:val="left"/>
              <w:rPr>
                <w:rFonts w:ascii="宋体" w:eastAsia="宋体"/>
                <w:sz w:val="20"/>
              </w:rPr>
            </w:pPr>
            <w:r>
              <w:rPr>
                <w:rFonts w:ascii="宋体" w:hAnsi="宋体" w:eastAsia="宋体"/>
                <w:sz w:val="20"/>
              </w:rPr>
              <w:t>行权</w:t>
            </w:r>
          </w:p>
        </w:tc>
        <w:tc>
          <w:tcPr>
            <w:tcW w:w="936" w:type="dxa"/>
            <w:tcBorders>
              <w:top w:val="nil"/>
              <w:left w:val="nil"/>
              <w:bottom w:val="nil"/>
              <w:right w:val="nil"/>
            </w:tcBorders>
            <w:noWrap w:val="0"/>
            <w:tcMar>
              <w:top w:w="-1" w:type="dxa"/>
              <w:left w:w="-1" w:type="dxa"/>
              <w:bottom w:w="-1" w:type="dxa"/>
              <w:right w:w="-1" w:type="dxa"/>
            </w:tcMar>
            <w:vAlign w:val="center"/>
          </w:tcPr>
          <w:p w14:paraId="5691EEE4">
            <w:pPr>
              <w:snapToGrid w:val="0"/>
              <w:spacing w:line="240" w:lineRule="auto"/>
              <w:ind w:left="0" w:leftChars="0" w:right="0" w:rightChars="0" w:firstLine="0" w:firstLineChars="0"/>
              <w:jc w:val="left"/>
              <w:rPr>
                <w:rFonts w:ascii="宋体" w:eastAsia="宋体"/>
                <w:sz w:val="20"/>
              </w:rPr>
            </w:pPr>
            <w:r>
              <w:rPr>
                <w:rFonts w:ascii="宋体" w:hAnsi="宋体" w:eastAsia="宋体"/>
                <w:sz w:val="20"/>
              </w:rPr>
              <w:t>2.800</w:t>
            </w:r>
          </w:p>
        </w:tc>
        <w:tc>
          <w:tcPr>
            <w:tcW w:w="936" w:type="dxa"/>
            <w:tcBorders>
              <w:top w:val="nil"/>
              <w:left w:val="nil"/>
              <w:bottom w:val="nil"/>
              <w:right w:val="nil"/>
            </w:tcBorders>
            <w:noWrap w:val="0"/>
            <w:tcMar>
              <w:top w:w="-1" w:type="dxa"/>
              <w:left w:w="-1" w:type="dxa"/>
              <w:bottom w:w="-1" w:type="dxa"/>
              <w:right w:w="-1" w:type="dxa"/>
            </w:tcMar>
            <w:vAlign w:val="center"/>
          </w:tcPr>
          <w:p w14:paraId="75DB02C6">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10,000</w:t>
            </w:r>
          </w:p>
        </w:tc>
        <w:tc>
          <w:tcPr>
            <w:tcW w:w="938" w:type="dxa"/>
            <w:tcBorders>
              <w:top w:val="nil"/>
              <w:left w:val="nil"/>
              <w:bottom w:val="nil"/>
              <w:right w:val="nil"/>
            </w:tcBorders>
            <w:noWrap w:val="0"/>
            <w:tcMar>
              <w:top w:w="-1" w:type="dxa"/>
              <w:left w:w="-1" w:type="dxa"/>
              <w:bottom w:w="-1" w:type="dxa"/>
              <w:right w:w="-1" w:type="dxa"/>
            </w:tcMar>
            <w:vAlign w:val="center"/>
          </w:tcPr>
          <w:p w14:paraId="36A0FF0E">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+1200</w:t>
            </w:r>
          </w:p>
        </w:tc>
        <w:tc>
          <w:tcPr>
            <w:tcW w:w="938" w:type="dxa"/>
            <w:tcBorders>
              <w:top w:val="nil"/>
              <w:left w:val="nil"/>
              <w:bottom w:val="nil"/>
              <w:right w:val="nil"/>
            </w:tcBorders>
            <w:noWrap w:val="0"/>
            <w:tcMar>
              <w:top w:w="-1" w:type="dxa"/>
              <w:left w:w="-1" w:type="dxa"/>
              <w:bottom w:w="-1" w:type="dxa"/>
              <w:right w:w="-1" w:type="dxa"/>
            </w:tcMar>
            <w:vAlign w:val="center"/>
          </w:tcPr>
          <w:p w14:paraId="6190CCCA">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0</w:t>
            </w:r>
          </w:p>
        </w:tc>
      </w:tr>
      <w:tr w14:paraId="577C9F9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39" w:type="dxa"/>
            <w:tcBorders>
              <w:top w:val="nil"/>
              <w:left w:val="nil"/>
              <w:bottom w:val="nil"/>
              <w:right w:val="nil"/>
            </w:tcBorders>
            <w:noWrap w:val="0"/>
            <w:tcMar>
              <w:top w:w="-1" w:type="dxa"/>
              <w:left w:w="-1" w:type="dxa"/>
              <w:bottom w:w="-1" w:type="dxa"/>
              <w:right w:w="-1" w:type="dxa"/>
            </w:tcMar>
            <w:vAlign w:val="center"/>
          </w:tcPr>
          <w:p w14:paraId="7A8238EE">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B01</w:t>
            </w:r>
          </w:p>
        </w:tc>
        <w:tc>
          <w:tcPr>
            <w:tcW w:w="756" w:type="dxa"/>
            <w:tcBorders>
              <w:top w:val="nil"/>
              <w:left w:val="nil"/>
              <w:bottom w:val="nil"/>
              <w:right w:val="nil"/>
            </w:tcBorders>
            <w:noWrap w:val="0"/>
            <w:tcMar>
              <w:top w:w="-1" w:type="dxa"/>
              <w:left w:w="-1" w:type="dxa"/>
              <w:bottom w:w="-1" w:type="dxa"/>
              <w:right w:w="-1" w:type="dxa"/>
            </w:tcMar>
            <w:vAlign w:val="center"/>
          </w:tcPr>
          <w:p w14:paraId="17FC6007">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2026-03-02</w:t>
            </w:r>
          </w:p>
        </w:tc>
        <w:tc>
          <w:tcPr>
            <w:tcW w:w="737" w:type="dxa"/>
            <w:tcBorders>
              <w:top w:val="nil"/>
              <w:left w:val="nil"/>
              <w:bottom w:val="nil"/>
              <w:right w:val="nil"/>
            </w:tcBorders>
            <w:noWrap w:val="0"/>
            <w:tcMar>
              <w:top w:w="-1" w:type="dxa"/>
              <w:left w:w="-1" w:type="dxa"/>
              <w:bottom w:w="-1" w:type="dxa"/>
              <w:right w:w="-1" w:type="dxa"/>
            </w:tcMar>
            <w:vAlign w:val="center"/>
          </w:tcPr>
          <w:p w14:paraId="7EE6DE29">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开仓</w:t>
            </w:r>
          </w:p>
        </w:tc>
        <w:tc>
          <w:tcPr>
            <w:tcW w:w="1286" w:type="dxa"/>
            <w:tcBorders>
              <w:top w:val="nil"/>
              <w:left w:val="nil"/>
              <w:bottom w:val="nil"/>
              <w:right w:val="nil"/>
            </w:tcBorders>
            <w:noWrap w:val="0"/>
            <w:tcMar>
              <w:top w:w="-1" w:type="dxa"/>
              <w:left w:w="-1" w:type="dxa"/>
              <w:bottom w:w="-1" w:type="dxa"/>
              <w:right w:w="-1" w:type="dxa"/>
            </w:tcMar>
            <w:vAlign w:val="center"/>
          </w:tcPr>
          <w:p w14:paraId="0D38C083">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50ETF现货</w:t>
            </w:r>
          </w:p>
        </w:tc>
        <w:tc>
          <w:tcPr>
            <w:tcW w:w="1136" w:type="dxa"/>
            <w:tcBorders>
              <w:top w:val="nil"/>
              <w:left w:val="nil"/>
              <w:bottom w:val="nil"/>
              <w:right w:val="nil"/>
            </w:tcBorders>
            <w:noWrap w:val="0"/>
            <w:tcMar>
              <w:top w:w="-1" w:type="dxa"/>
              <w:left w:w="-1" w:type="dxa"/>
              <w:bottom w:w="-1" w:type="dxa"/>
              <w:right w:w="-1" w:type="dxa"/>
            </w:tcMar>
            <w:vAlign w:val="center"/>
          </w:tcPr>
          <w:p w14:paraId="5A76524D">
            <w:pPr>
              <w:snapToGrid w:val="0"/>
              <w:spacing w:line="240" w:lineRule="auto"/>
              <w:ind w:left="0" w:leftChars="0" w:right="0" w:rightChars="0" w:firstLine="0" w:firstLineChars="0"/>
              <w:jc w:val="left"/>
              <w:rPr>
                <w:rFonts w:ascii="宋体" w:eastAsia="宋体"/>
                <w:sz w:val="20"/>
              </w:rPr>
            </w:pPr>
            <w:r>
              <w:rPr>
                <w:rFonts w:ascii="宋体" w:hAnsi="宋体" w:eastAsia="宋体"/>
                <w:sz w:val="20"/>
              </w:rPr>
              <w:t>买入</w:t>
            </w:r>
          </w:p>
        </w:tc>
        <w:tc>
          <w:tcPr>
            <w:tcW w:w="936" w:type="dxa"/>
            <w:tcBorders>
              <w:top w:val="nil"/>
              <w:left w:val="nil"/>
              <w:bottom w:val="nil"/>
              <w:right w:val="nil"/>
            </w:tcBorders>
            <w:noWrap w:val="0"/>
            <w:tcMar>
              <w:top w:w="-1" w:type="dxa"/>
              <w:left w:w="-1" w:type="dxa"/>
              <w:bottom w:w="-1" w:type="dxa"/>
              <w:right w:w="-1" w:type="dxa"/>
            </w:tcMar>
            <w:vAlign w:val="center"/>
          </w:tcPr>
          <w:p w14:paraId="54E84AD6">
            <w:pPr>
              <w:snapToGrid w:val="0"/>
              <w:spacing w:line="240" w:lineRule="auto"/>
              <w:ind w:left="0" w:leftChars="0" w:right="0" w:rightChars="0" w:firstLine="0" w:firstLineChars="0"/>
              <w:jc w:val="left"/>
              <w:rPr>
                <w:rFonts w:ascii="宋体" w:eastAsia="宋体"/>
                <w:sz w:val="20"/>
              </w:rPr>
            </w:pPr>
            <w:r>
              <w:rPr>
                <w:rFonts w:ascii="宋体" w:hAnsi="宋体" w:eastAsia="宋体"/>
                <w:sz w:val="20"/>
              </w:rPr>
              <w:t>2.850</w:t>
            </w:r>
          </w:p>
        </w:tc>
        <w:tc>
          <w:tcPr>
            <w:tcW w:w="936" w:type="dxa"/>
            <w:tcBorders>
              <w:top w:val="nil"/>
              <w:left w:val="nil"/>
              <w:bottom w:val="nil"/>
              <w:right w:val="nil"/>
            </w:tcBorders>
            <w:noWrap w:val="0"/>
            <w:tcMar>
              <w:top w:w="-1" w:type="dxa"/>
              <w:left w:w="-1" w:type="dxa"/>
              <w:bottom w:w="-1" w:type="dxa"/>
              <w:right w:w="-1" w:type="dxa"/>
            </w:tcMar>
            <w:vAlign w:val="center"/>
          </w:tcPr>
          <w:p w14:paraId="3A8BD0A4">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10,000</w:t>
            </w:r>
          </w:p>
        </w:tc>
        <w:tc>
          <w:tcPr>
            <w:tcW w:w="938" w:type="dxa"/>
            <w:tcBorders>
              <w:top w:val="nil"/>
              <w:left w:val="nil"/>
              <w:bottom w:val="nil"/>
              <w:right w:val="nil"/>
            </w:tcBorders>
            <w:noWrap w:val="0"/>
            <w:tcMar>
              <w:top w:w="-1" w:type="dxa"/>
              <w:left w:w="-1" w:type="dxa"/>
              <w:bottom w:w="-1" w:type="dxa"/>
              <w:right w:w="-1" w:type="dxa"/>
            </w:tcMar>
            <w:vAlign w:val="center"/>
          </w:tcPr>
          <w:p w14:paraId="69AA07BD">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w:t>
            </w:r>
          </w:p>
        </w:tc>
        <w:tc>
          <w:tcPr>
            <w:tcW w:w="938" w:type="dxa"/>
            <w:tcBorders>
              <w:top w:val="nil"/>
              <w:left w:val="nil"/>
              <w:bottom w:val="nil"/>
              <w:right w:val="nil"/>
            </w:tcBorders>
            <w:noWrap w:val="0"/>
            <w:tcMar>
              <w:top w:w="-1" w:type="dxa"/>
              <w:left w:w="-1" w:type="dxa"/>
              <w:bottom w:w="-1" w:type="dxa"/>
              <w:right w:w="-1" w:type="dxa"/>
            </w:tcMar>
            <w:vAlign w:val="center"/>
          </w:tcPr>
          <w:p w14:paraId="1E626E78">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5.70</w:t>
            </w:r>
          </w:p>
        </w:tc>
      </w:tr>
      <w:tr w14:paraId="488FD778">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39" w:type="dxa"/>
            <w:tcBorders>
              <w:top w:val="nil"/>
              <w:left w:val="nil"/>
              <w:bottom w:val="nil"/>
              <w:right w:val="nil"/>
            </w:tcBorders>
            <w:noWrap w:val="0"/>
            <w:tcMar>
              <w:top w:w="-1" w:type="dxa"/>
              <w:left w:w="-1" w:type="dxa"/>
              <w:bottom w:w="-1" w:type="dxa"/>
              <w:right w:w="-1" w:type="dxa"/>
            </w:tcMar>
            <w:vAlign w:val="center"/>
          </w:tcPr>
          <w:p w14:paraId="683955E0">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B02</w:t>
            </w:r>
          </w:p>
        </w:tc>
        <w:tc>
          <w:tcPr>
            <w:tcW w:w="756" w:type="dxa"/>
            <w:tcBorders>
              <w:top w:val="nil"/>
              <w:left w:val="nil"/>
              <w:bottom w:val="nil"/>
              <w:right w:val="nil"/>
            </w:tcBorders>
            <w:noWrap w:val="0"/>
            <w:tcMar>
              <w:top w:w="-1" w:type="dxa"/>
              <w:left w:w="-1" w:type="dxa"/>
              <w:bottom w:w="-1" w:type="dxa"/>
              <w:right w:w="-1" w:type="dxa"/>
            </w:tcMar>
            <w:vAlign w:val="center"/>
          </w:tcPr>
          <w:p w14:paraId="54151288">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2026-03-02</w:t>
            </w:r>
          </w:p>
        </w:tc>
        <w:tc>
          <w:tcPr>
            <w:tcW w:w="737" w:type="dxa"/>
            <w:tcBorders>
              <w:top w:val="nil"/>
              <w:left w:val="nil"/>
              <w:bottom w:val="nil"/>
              <w:right w:val="nil"/>
            </w:tcBorders>
            <w:noWrap w:val="0"/>
            <w:tcMar>
              <w:top w:w="-1" w:type="dxa"/>
              <w:left w:w="-1" w:type="dxa"/>
              <w:bottom w:w="-1" w:type="dxa"/>
              <w:right w:w="-1" w:type="dxa"/>
            </w:tcMar>
            <w:vAlign w:val="center"/>
          </w:tcPr>
          <w:p w14:paraId="2CC93433">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开仓</w:t>
            </w:r>
          </w:p>
        </w:tc>
        <w:tc>
          <w:tcPr>
            <w:tcW w:w="1286" w:type="dxa"/>
            <w:tcBorders>
              <w:top w:val="nil"/>
              <w:left w:val="nil"/>
              <w:bottom w:val="nil"/>
              <w:right w:val="nil"/>
            </w:tcBorders>
            <w:noWrap w:val="0"/>
            <w:tcMar>
              <w:top w:w="-1" w:type="dxa"/>
              <w:left w:w="-1" w:type="dxa"/>
              <w:bottom w:w="-1" w:type="dxa"/>
              <w:right w:w="-1" w:type="dxa"/>
            </w:tcMar>
            <w:vAlign w:val="center"/>
          </w:tcPr>
          <w:p w14:paraId="09AC581C">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50ETF沽4月2800</w:t>
            </w:r>
          </w:p>
        </w:tc>
        <w:tc>
          <w:tcPr>
            <w:tcW w:w="1136" w:type="dxa"/>
            <w:tcBorders>
              <w:top w:val="nil"/>
              <w:left w:val="nil"/>
              <w:bottom w:val="nil"/>
              <w:right w:val="nil"/>
            </w:tcBorders>
            <w:noWrap w:val="0"/>
            <w:tcMar>
              <w:top w:w="-1" w:type="dxa"/>
              <w:left w:w="-1" w:type="dxa"/>
              <w:bottom w:w="-1" w:type="dxa"/>
              <w:right w:w="-1" w:type="dxa"/>
            </w:tcMar>
            <w:vAlign w:val="center"/>
          </w:tcPr>
          <w:p w14:paraId="6AC88C75">
            <w:pPr>
              <w:snapToGrid w:val="0"/>
              <w:spacing w:line="240" w:lineRule="auto"/>
              <w:ind w:left="0" w:leftChars="0" w:right="0" w:rightChars="0" w:firstLine="0" w:firstLineChars="0"/>
              <w:jc w:val="left"/>
              <w:rPr>
                <w:rFonts w:ascii="宋体" w:eastAsia="宋体"/>
                <w:sz w:val="20"/>
              </w:rPr>
            </w:pPr>
            <w:r>
              <w:rPr>
                <w:rFonts w:ascii="宋体" w:hAnsi="宋体" w:eastAsia="宋体"/>
                <w:sz w:val="20"/>
              </w:rPr>
              <w:t>买入</w:t>
            </w:r>
          </w:p>
        </w:tc>
        <w:tc>
          <w:tcPr>
            <w:tcW w:w="936" w:type="dxa"/>
            <w:tcBorders>
              <w:top w:val="nil"/>
              <w:left w:val="nil"/>
              <w:bottom w:val="nil"/>
              <w:right w:val="nil"/>
            </w:tcBorders>
            <w:noWrap w:val="0"/>
            <w:tcMar>
              <w:top w:w="-1" w:type="dxa"/>
              <w:left w:w="-1" w:type="dxa"/>
              <w:bottom w:w="-1" w:type="dxa"/>
              <w:right w:w="-1" w:type="dxa"/>
            </w:tcMar>
            <w:vAlign w:val="center"/>
          </w:tcPr>
          <w:p w14:paraId="13F0271E">
            <w:pPr>
              <w:snapToGrid w:val="0"/>
              <w:spacing w:line="240" w:lineRule="auto"/>
              <w:ind w:left="0" w:leftChars="0" w:right="0" w:rightChars="0" w:firstLine="0" w:firstLineChars="0"/>
              <w:jc w:val="left"/>
              <w:rPr>
                <w:rFonts w:ascii="宋体" w:eastAsia="宋体"/>
                <w:sz w:val="20"/>
              </w:rPr>
            </w:pPr>
            <w:r>
              <w:rPr>
                <w:rFonts w:ascii="宋体" w:hAnsi="宋体" w:eastAsia="宋体"/>
                <w:sz w:val="20"/>
              </w:rPr>
              <w:t>0.0450</w:t>
            </w:r>
          </w:p>
        </w:tc>
        <w:tc>
          <w:tcPr>
            <w:tcW w:w="936" w:type="dxa"/>
            <w:tcBorders>
              <w:top w:val="nil"/>
              <w:left w:val="nil"/>
              <w:bottom w:val="nil"/>
              <w:right w:val="nil"/>
            </w:tcBorders>
            <w:noWrap w:val="0"/>
            <w:tcMar>
              <w:top w:w="-1" w:type="dxa"/>
              <w:left w:w="-1" w:type="dxa"/>
              <w:bottom w:w="-1" w:type="dxa"/>
              <w:right w:w="-1" w:type="dxa"/>
            </w:tcMar>
            <w:vAlign w:val="center"/>
          </w:tcPr>
          <w:p w14:paraId="5412E5A5">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10,000</w:t>
            </w:r>
          </w:p>
        </w:tc>
        <w:tc>
          <w:tcPr>
            <w:tcW w:w="938" w:type="dxa"/>
            <w:tcBorders>
              <w:top w:val="nil"/>
              <w:left w:val="nil"/>
              <w:bottom w:val="nil"/>
              <w:right w:val="nil"/>
            </w:tcBorders>
            <w:noWrap w:val="0"/>
            <w:tcMar>
              <w:top w:w="-1" w:type="dxa"/>
              <w:left w:w="-1" w:type="dxa"/>
              <w:bottom w:w="-1" w:type="dxa"/>
              <w:right w:w="-1" w:type="dxa"/>
            </w:tcMar>
            <w:vAlign w:val="center"/>
          </w:tcPr>
          <w:p w14:paraId="6B123946">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-450</w:t>
            </w:r>
          </w:p>
        </w:tc>
        <w:tc>
          <w:tcPr>
            <w:tcW w:w="938" w:type="dxa"/>
            <w:tcBorders>
              <w:top w:val="nil"/>
              <w:left w:val="nil"/>
              <w:bottom w:val="nil"/>
              <w:right w:val="nil"/>
            </w:tcBorders>
            <w:noWrap w:val="0"/>
            <w:tcMar>
              <w:top w:w="-1" w:type="dxa"/>
              <w:left w:w="-1" w:type="dxa"/>
              <w:bottom w:w="-1" w:type="dxa"/>
              <w:right w:w="-1" w:type="dxa"/>
            </w:tcMar>
            <w:vAlign w:val="center"/>
          </w:tcPr>
          <w:p w14:paraId="7F60F51D">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5.00</w:t>
            </w:r>
          </w:p>
        </w:tc>
      </w:tr>
      <w:tr w14:paraId="1DACF22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39" w:type="dxa"/>
            <w:tcBorders>
              <w:top w:val="nil"/>
              <w:left w:val="nil"/>
              <w:bottom w:val="nil"/>
              <w:right w:val="nil"/>
            </w:tcBorders>
            <w:noWrap w:val="0"/>
            <w:tcMar>
              <w:top w:w="-1" w:type="dxa"/>
              <w:left w:w="-1" w:type="dxa"/>
              <w:bottom w:w="-1" w:type="dxa"/>
              <w:right w:w="-1" w:type="dxa"/>
            </w:tcMar>
            <w:vAlign w:val="center"/>
          </w:tcPr>
          <w:p w14:paraId="1F62C7CB">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B03</w:t>
            </w:r>
          </w:p>
        </w:tc>
        <w:tc>
          <w:tcPr>
            <w:tcW w:w="756" w:type="dxa"/>
            <w:tcBorders>
              <w:top w:val="nil"/>
              <w:left w:val="nil"/>
              <w:bottom w:val="nil"/>
              <w:right w:val="nil"/>
            </w:tcBorders>
            <w:noWrap w:val="0"/>
            <w:tcMar>
              <w:top w:w="-1" w:type="dxa"/>
              <w:left w:w="-1" w:type="dxa"/>
              <w:bottom w:w="-1" w:type="dxa"/>
              <w:right w:w="-1" w:type="dxa"/>
            </w:tcMar>
            <w:vAlign w:val="center"/>
          </w:tcPr>
          <w:p w14:paraId="219D14EB">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2026-03-02</w:t>
            </w:r>
          </w:p>
        </w:tc>
        <w:tc>
          <w:tcPr>
            <w:tcW w:w="737" w:type="dxa"/>
            <w:tcBorders>
              <w:top w:val="nil"/>
              <w:left w:val="nil"/>
              <w:bottom w:val="nil"/>
              <w:right w:val="nil"/>
            </w:tcBorders>
            <w:noWrap w:val="0"/>
            <w:tcMar>
              <w:top w:w="-1" w:type="dxa"/>
              <w:left w:w="-1" w:type="dxa"/>
              <w:bottom w:w="-1" w:type="dxa"/>
              <w:right w:w="-1" w:type="dxa"/>
            </w:tcMar>
            <w:vAlign w:val="center"/>
          </w:tcPr>
          <w:p w14:paraId="4C89A38F">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开仓</w:t>
            </w:r>
          </w:p>
        </w:tc>
        <w:tc>
          <w:tcPr>
            <w:tcW w:w="1286" w:type="dxa"/>
            <w:tcBorders>
              <w:top w:val="nil"/>
              <w:left w:val="nil"/>
              <w:bottom w:val="nil"/>
              <w:right w:val="nil"/>
            </w:tcBorders>
            <w:noWrap w:val="0"/>
            <w:tcMar>
              <w:top w:w="-1" w:type="dxa"/>
              <w:left w:w="-1" w:type="dxa"/>
              <w:bottom w:w="-1" w:type="dxa"/>
              <w:right w:w="-1" w:type="dxa"/>
            </w:tcMar>
            <w:vAlign w:val="center"/>
          </w:tcPr>
          <w:p w14:paraId="4CA2CEDC">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50ETF购4月3000</w:t>
            </w:r>
          </w:p>
        </w:tc>
        <w:tc>
          <w:tcPr>
            <w:tcW w:w="1136" w:type="dxa"/>
            <w:tcBorders>
              <w:top w:val="nil"/>
              <w:left w:val="nil"/>
              <w:bottom w:val="nil"/>
              <w:right w:val="nil"/>
            </w:tcBorders>
            <w:noWrap w:val="0"/>
            <w:tcMar>
              <w:top w:w="-1" w:type="dxa"/>
              <w:left w:w="-1" w:type="dxa"/>
              <w:bottom w:w="-1" w:type="dxa"/>
              <w:right w:w="-1" w:type="dxa"/>
            </w:tcMar>
            <w:vAlign w:val="center"/>
          </w:tcPr>
          <w:p w14:paraId="0DB9B534">
            <w:pPr>
              <w:snapToGrid w:val="0"/>
              <w:spacing w:line="240" w:lineRule="auto"/>
              <w:ind w:left="0" w:leftChars="0" w:right="0" w:rightChars="0" w:firstLine="0" w:firstLineChars="0"/>
              <w:jc w:val="left"/>
              <w:rPr>
                <w:rFonts w:ascii="宋体" w:eastAsia="宋体"/>
                <w:sz w:val="20"/>
              </w:rPr>
            </w:pPr>
            <w:r>
              <w:rPr>
                <w:rFonts w:ascii="宋体" w:hAnsi="宋体" w:eastAsia="宋体"/>
                <w:sz w:val="20"/>
              </w:rPr>
              <w:t>卖出</w:t>
            </w:r>
          </w:p>
        </w:tc>
        <w:tc>
          <w:tcPr>
            <w:tcW w:w="936" w:type="dxa"/>
            <w:tcBorders>
              <w:top w:val="nil"/>
              <w:left w:val="nil"/>
              <w:bottom w:val="nil"/>
              <w:right w:val="nil"/>
            </w:tcBorders>
            <w:noWrap w:val="0"/>
            <w:tcMar>
              <w:top w:w="-1" w:type="dxa"/>
              <w:left w:w="-1" w:type="dxa"/>
              <w:bottom w:w="-1" w:type="dxa"/>
              <w:right w:w="-1" w:type="dxa"/>
            </w:tcMar>
            <w:vAlign w:val="center"/>
          </w:tcPr>
          <w:p w14:paraId="620396F2">
            <w:pPr>
              <w:snapToGrid w:val="0"/>
              <w:spacing w:line="240" w:lineRule="auto"/>
              <w:ind w:left="0" w:leftChars="0" w:right="0" w:rightChars="0" w:firstLine="0" w:firstLineChars="0"/>
              <w:jc w:val="left"/>
              <w:rPr>
                <w:rFonts w:ascii="宋体" w:eastAsia="宋体"/>
                <w:sz w:val="20"/>
              </w:rPr>
            </w:pPr>
            <w:r>
              <w:rPr>
                <w:rFonts w:ascii="宋体" w:hAnsi="宋体" w:eastAsia="宋体"/>
                <w:sz w:val="20"/>
              </w:rPr>
              <w:t>0.0300</w:t>
            </w:r>
          </w:p>
        </w:tc>
        <w:tc>
          <w:tcPr>
            <w:tcW w:w="936" w:type="dxa"/>
            <w:tcBorders>
              <w:top w:val="nil"/>
              <w:left w:val="nil"/>
              <w:bottom w:val="nil"/>
              <w:right w:val="nil"/>
            </w:tcBorders>
            <w:noWrap w:val="0"/>
            <w:tcMar>
              <w:top w:w="-1" w:type="dxa"/>
              <w:left w:w="-1" w:type="dxa"/>
              <w:bottom w:w="-1" w:type="dxa"/>
              <w:right w:w="-1" w:type="dxa"/>
            </w:tcMar>
            <w:vAlign w:val="center"/>
          </w:tcPr>
          <w:p w14:paraId="377C2BDE">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10,000</w:t>
            </w:r>
          </w:p>
        </w:tc>
        <w:tc>
          <w:tcPr>
            <w:tcW w:w="938" w:type="dxa"/>
            <w:tcBorders>
              <w:top w:val="nil"/>
              <w:left w:val="nil"/>
              <w:bottom w:val="nil"/>
              <w:right w:val="nil"/>
            </w:tcBorders>
            <w:noWrap w:val="0"/>
            <w:tcMar>
              <w:top w:w="-1" w:type="dxa"/>
              <w:left w:w="-1" w:type="dxa"/>
              <w:bottom w:w="-1" w:type="dxa"/>
              <w:right w:w="-1" w:type="dxa"/>
            </w:tcMar>
            <w:vAlign w:val="center"/>
          </w:tcPr>
          <w:p w14:paraId="27C96543">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+300</w:t>
            </w:r>
          </w:p>
        </w:tc>
        <w:tc>
          <w:tcPr>
            <w:tcW w:w="938" w:type="dxa"/>
            <w:tcBorders>
              <w:top w:val="nil"/>
              <w:left w:val="nil"/>
              <w:bottom w:val="nil"/>
              <w:right w:val="nil"/>
            </w:tcBorders>
            <w:noWrap w:val="0"/>
            <w:tcMar>
              <w:top w:w="-1" w:type="dxa"/>
              <w:left w:w="-1" w:type="dxa"/>
              <w:bottom w:w="-1" w:type="dxa"/>
              <w:right w:w="-1" w:type="dxa"/>
            </w:tcMar>
            <w:vAlign w:val="center"/>
          </w:tcPr>
          <w:p w14:paraId="2B016BE4">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5.00</w:t>
            </w:r>
          </w:p>
        </w:tc>
      </w:tr>
      <w:tr w14:paraId="1FA5EE0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39" w:type="dxa"/>
            <w:tcBorders>
              <w:top w:val="nil"/>
              <w:left w:val="nil"/>
              <w:bottom w:val="nil"/>
              <w:right w:val="nil"/>
            </w:tcBorders>
            <w:noWrap w:val="0"/>
            <w:tcMar>
              <w:top w:w="-1" w:type="dxa"/>
              <w:left w:w="-1" w:type="dxa"/>
              <w:bottom w:w="-1" w:type="dxa"/>
              <w:right w:w="-1" w:type="dxa"/>
            </w:tcMar>
            <w:vAlign w:val="center"/>
          </w:tcPr>
          <w:p w14:paraId="10ADB3DD">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B04</w:t>
            </w:r>
          </w:p>
        </w:tc>
        <w:tc>
          <w:tcPr>
            <w:tcW w:w="756" w:type="dxa"/>
            <w:tcBorders>
              <w:top w:val="nil"/>
              <w:left w:val="nil"/>
              <w:bottom w:val="nil"/>
              <w:right w:val="nil"/>
            </w:tcBorders>
            <w:noWrap w:val="0"/>
            <w:tcMar>
              <w:top w:w="-1" w:type="dxa"/>
              <w:left w:w="-1" w:type="dxa"/>
              <w:bottom w:w="-1" w:type="dxa"/>
              <w:right w:w="-1" w:type="dxa"/>
            </w:tcMar>
            <w:vAlign w:val="center"/>
          </w:tcPr>
          <w:p w14:paraId="2059E88C">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2026-04-15</w:t>
            </w:r>
          </w:p>
        </w:tc>
        <w:tc>
          <w:tcPr>
            <w:tcW w:w="737" w:type="dxa"/>
            <w:tcBorders>
              <w:top w:val="nil"/>
              <w:left w:val="nil"/>
              <w:bottom w:val="nil"/>
              <w:right w:val="nil"/>
            </w:tcBorders>
            <w:noWrap w:val="0"/>
            <w:tcMar>
              <w:top w:w="-1" w:type="dxa"/>
              <w:left w:w="-1" w:type="dxa"/>
              <w:bottom w:w="-1" w:type="dxa"/>
              <w:right w:w="-1" w:type="dxa"/>
            </w:tcMar>
            <w:vAlign w:val="center"/>
          </w:tcPr>
          <w:p w14:paraId="2EAA8782">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平仓</w:t>
            </w:r>
          </w:p>
        </w:tc>
        <w:tc>
          <w:tcPr>
            <w:tcW w:w="1286" w:type="dxa"/>
            <w:tcBorders>
              <w:top w:val="nil"/>
              <w:left w:val="nil"/>
              <w:bottom w:val="nil"/>
              <w:right w:val="nil"/>
            </w:tcBorders>
            <w:noWrap w:val="0"/>
            <w:tcMar>
              <w:top w:w="-1" w:type="dxa"/>
              <w:left w:w="-1" w:type="dxa"/>
              <w:bottom w:w="-1" w:type="dxa"/>
              <w:right w:w="-1" w:type="dxa"/>
            </w:tcMar>
            <w:vAlign w:val="center"/>
          </w:tcPr>
          <w:p w14:paraId="619CF037">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50ETF现货</w:t>
            </w:r>
          </w:p>
        </w:tc>
        <w:tc>
          <w:tcPr>
            <w:tcW w:w="1136" w:type="dxa"/>
            <w:tcBorders>
              <w:top w:val="nil"/>
              <w:left w:val="nil"/>
              <w:bottom w:val="nil"/>
              <w:right w:val="nil"/>
            </w:tcBorders>
            <w:noWrap w:val="0"/>
            <w:tcMar>
              <w:top w:w="-1" w:type="dxa"/>
              <w:left w:w="-1" w:type="dxa"/>
              <w:bottom w:w="-1" w:type="dxa"/>
              <w:right w:w="-1" w:type="dxa"/>
            </w:tcMar>
            <w:vAlign w:val="center"/>
          </w:tcPr>
          <w:p w14:paraId="1EE7D232">
            <w:pPr>
              <w:snapToGrid w:val="0"/>
              <w:spacing w:line="240" w:lineRule="auto"/>
              <w:ind w:left="0" w:leftChars="0" w:right="0" w:rightChars="0" w:firstLine="0" w:firstLineChars="0"/>
              <w:jc w:val="left"/>
              <w:rPr>
                <w:rFonts w:ascii="宋体" w:eastAsia="宋体"/>
                <w:sz w:val="20"/>
              </w:rPr>
            </w:pPr>
            <w:r>
              <w:rPr>
                <w:rFonts w:ascii="宋体" w:hAnsi="宋体" w:eastAsia="宋体"/>
                <w:sz w:val="20"/>
              </w:rPr>
              <w:t>卖出</w:t>
            </w:r>
          </w:p>
        </w:tc>
        <w:tc>
          <w:tcPr>
            <w:tcW w:w="936" w:type="dxa"/>
            <w:tcBorders>
              <w:top w:val="nil"/>
              <w:left w:val="nil"/>
              <w:bottom w:val="nil"/>
              <w:right w:val="nil"/>
            </w:tcBorders>
            <w:noWrap w:val="0"/>
            <w:tcMar>
              <w:top w:w="-1" w:type="dxa"/>
              <w:left w:w="-1" w:type="dxa"/>
              <w:bottom w:w="-1" w:type="dxa"/>
              <w:right w:w="-1" w:type="dxa"/>
            </w:tcMar>
            <w:vAlign w:val="center"/>
          </w:tcPr>
          <w:p w14:paraId="246167C3">
            <w:pPr>
              <w:snapToGrid w:val="0"/>
              <w:spacing w:line="240" w:lineRule="auto"/>
              <w:ind w:left="0" w:leftChars="0" w:right="0" w:rightChars="0" w:firstLine="0" w:firstLineChars="0"/>
              <w:jc w:val="left"/>
              <w:rPr>
                <w:rFonts w:ascii="宋体" w:eastAsia="宋体"/>
                <w:sz w:val="20"/>
              </w:rPr>
            </w:pPr>
            <w:r>
              <w:rPr>
                <w:rFonts w:ascii="宋体" w:hAnsi="宋体" w:eastAsia="宋体"/>
                <w:sz w:val="20"/>
              </w:rPr>
              <w:t>2.680</w:t>
            </w:r>
          </w:p>
        </w:tc>
        <w:tc>
          <w:tcPr>
            <w:tcW w:w="936" w:type="dxa"/>
            <w:tcBorders>
              <w:top w:val="nil"/>
              <w:left w:val="nil"/>
              <w:bottom w:val="nil"/>
              <w:right w:val="nil"/>
            </w:tcBorders>
            <w:noWrap w:val="0"/>
            <w:tcMar>
              <w:top w:w="-1" w:type="dxa"/>
              <w:left w:w="-1" w:type="dxa"/>
              <w:bottom w:w="-1" w:type="dxa"/>
              <w:right w:w="-1" w:type="dxa"/>
            </w:tcMar>
            <w:vAlign w:val="center"/>
          </w:tcPr>
          <w:p w14:paraId="5D8EC2A4">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10,000</w:t>
            </w:r>
          </w:p>
        </w:tc>
        <w:tc>
          <w:tcPr>
            <w:tcW w:w="938" w:type="dxa"/>
            <w:tcBorders>
              <w:top w:val="nil"/>
              <w:left w:val="nil"/>
              <w:bottom w:val="nil"/>
              <w:right w:val="nil"/>
            </w:tcBorders>
            <w:noWrap w:val="0"/>
            <w:tcMar>
              <w:top w:w="-1" w:type="dxa"/>
              <w:left w:w="-1" w:type="dxa"/>
              <w:bottom w:w="-1" w:type="dxa"/>
              <w:right w:w="-1" w:type="dxa"/>
            </w:tcMar>
            <w:vAlign w:val="center"/>
          </w:tcPr>
          <w:p w14:paraId="7A511CFE">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w:t>
            </w:r>
          </w:p>
        </w:tc>
        <w:tc>
          <w:tcPr>
            <w:tcW w:w="938" w:type="dxa"/>
            <w:tcBorders>
              <w:top w:val="nil"/>
              <w:left w:val="nil"/>
              <w:bottom w:val="nil"/>
              <w:right w:val="nil"/>
            </w:tcBorders>
            <w:noWrap w:val="0"/>
            <w:tcMar>
              <w:top w:w="-1" w:type="dxa"/>
              <w:left w:w="-1" w:type="dxa"/>
              <w:bottom w:w="-1" w:type="dxa"/>
              <w:right w:w="-1" w:type="dxa"/>
            </w:tcMar>
            <w:vAlign w:val="center"/>
          </w:tcPr>
          <w:p w14:paraId="61662BC2">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5.36</w:t>
            </w:r>
          </w:p>
        </w:tc>
      </w:tr>
      <w:tr w14:paraId="30398E8E">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39" w:type="dxa"/>
            <w:tcBorders>
              <w:top w:val="nil"/>
              <w:left w:val="nil"/>
              <w:bottom w:val="nil"/>
              <w:right w:val="nil"/>
            </w:tcBorders>
            <w:noWrap w:val="0"/>
            <w:tcMar>
              <w:top w:w="-1" w:type="dxa"/>
              <w:left w:w="-1" w:type="dxa"/>
              <w:bottom w:w="-1" w:type="dxa"/>
              <w:right w:w="-1" w:type="dxa"/>
            </w:tcMar>
            <w:vAlign w:val="center"/>
          </w:tcPr>
          <w:p w14:paraId="6A6860D0">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B05</w:t>
            </w:r>
          </w:p>
        </w:tc>
        <w:tc>
          <w:tcPr>
            <w:tcW w:w="756" w:type="dxa"/>
            <w:tcBorders>
              <w:top w:val="nil"/>
              <w:left w:val="nil"/>
              <w:bottom w:val="nil"/>
              <w:right w:val="nil"/>
            </w:tcBorders>
            <w:noWrap w:val="0"/>
            <w:tcMar>
              <w:top w:w="-1" w:type="dxa"/>
              <w:left w:w="-1" w:type="dxa"/>
              <w:bottom w:w="-1" w:type="dxa"/>
              <w:right w:w="-1" w:type="dxa"/>
            </w:tcMar>
            <w:vAlign w:val="center"/>
          </w:tcPr>
          <w:p w14:paraId="453CDCD4">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2026-04-15</w:t>
            </w:r>
          </w:p>
        </w:tc>
        <w:tc>
          <w:tcPr>
            <w:tcW w:w="737" w:type="dxa"/>
            <w:tcBorders>
              <w:top w:val="nil"/>
              <w:left w:val="nil"/>
              <w:bottom w:val="nil"/>
              <w:right w:val="nil"/>
            </w:tcBorders>
            <w:noWrap w:val="0"/>
            <w:tcMar>
              <w:top w:w="-1" w:type="dxa"/>
              <w:left w:w="-1" w:type="dxa"/>
              <w:bottom w:w="-1" w:type="dxa"/>
              <w:right w:w="-1" w:type="dxa"/>
            </w:tcMar>
            <w:vAlign w:val="center"/>
          </w:tcPr>
          <w:p w14:paraId="39985E0E">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行权</w:t>
            </w:r>
          </w:p>
        </w:tc>
        <w:tc>
          <w:tcPr>
            <w:tcW w:w="1286" w:type="dxa"/>
            <w:tcBorders>
              <w:top w:val="nil"/>
              <w:left w:val="nil"/>
              <w:bottom w:val="nil"/>
              <w:right w:val="nil"/>
            </w:tcBorders>
            <w:noWrap w:val="0"/>
            <w:tcMar>
              <w:top w:w="-1" w:type="dxa"/>
              <w:left w:w="-1" w:type="dxa"/>
              <w:bottom w:w="-1" w:type="dxa"/>
              <w:right w:w="-1" w:type="dxa"/>
            </w:tcMar>
            <w:vAlign w:val="center"/>
          </w:tcPr>
          <w:p w14:paraId="142247E0">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50ETF沽4月2800</w:t>
            </w:r>
          </w:p>
        </w:tc>
        <w:tc>
          <w:tcPr>
            <w:tcW w:w="1136" w:type="dxa"/>
            <w:tcBorders>
              <w:top w:val="nil"/>
              <w:left w:val="nil"/>
              <w:bottom w:val="nil"/>
              <w:right w:val="nil"/>
            </w:tcBorders>
            <w:noWrap w:val="0"/>
            <w:tcMar>
              <w:top w:w="-1" w:type="dxa"/>
              <w:left w:w="-1" w:type="dxa"/>
              <w:bottom w:w="-1" w:type="dxa"/>
              <w:right w:w="-1" w:type="dxa"/>
            </w:tcMar>
            <w:vAlign w:val="center"/>
          </w:tcPr>
          <w:p w14:paraId="62451809">
            <w:pPr>
              <w:snapToGrid w:val="0"/>
              <w:spacing w:line="240" w:lineRule="auto"/>
              <w:ind w:left="0" w:leftChars="0" w:right="0" w:rightChars="0" w:firstLine="0" w:firstLineChars="0"/>
              <w:jc w:val="left"/>
              <w:rPr>
                <w:rFonts w:ascii="宋体" w:eastAsia="宋体"/>
                <w:sz w:val="20"/>
              </w:rPr>
            </w:pPr>
            <w:r>
              <w:rPr>
                <w:rFonts w:ascii="宋体" w:hAnsi="宋体" w:eastAsia="宋体"/>
                <w:sz w:val="20"/>
              </w:rPr>
              <w:t>行权</w:t>
            </w:r>
          </w:p>
        </w:tc>
        <w:tc>
          <w:tcPr>
            <w:tcW w:w="936" w:type="dxa"/>
            <w:tcBorders>
              <w:top w:val="nil"/>
              <w:left w:val="nil"/>
              <w:bottom w:val="nil"/>
              <w:right w:val="nil"/>
            </w:tcBorders>
            <w:noWrap w:val="0"/>
            <w:tcMar>
              <w:top w:w="-1" w:type="dxa"/>
              <w:left w:w="-1" w:type="dxa"/>
              <w:bottom w:w="-1" w:type="dxa"/>
              <w:right w:w="-1" w:type="dxa"/>
            </w:tcMar>
            <w:vAlign w:val="center"/>
          </w:tcPr>
          <w:p w14:paraId="5C4858EE">
            <w:pPr>
              <w:snapToGrid w:val="0"/>
              <w:spacing w:line="240" w:lineRule="auto"/>
              <w:ind w:left="0" w:leftChars="0" w:right="0" w:rightChars="0" w:firstLine="0" w:firstLineChars="0"/>
              <w:jc w:val="left"/>
              <w:rPr>
                <w:rFonts w:ascii="宋体" w:eastAsia="宋体"/>
                <w:sz w:val="20"/>
              </w:rPr>
            </w:pPr>
            <w:r>
              <w:rPr>
                <w:rFonts w:ascii="宋体" w:hAnsi="宋体" w:eastAsia="宋体"/>
                <w:sz w:val="20"/>
              </w:rPr>
              <w:t>2.800</w:t>
            </w:r>
          </w:p>
        </w:tc>
        <w:tc>
          <w:tcPr>
            <w:tcW w:w="936" w:type="dxa"/>
            <w:tcBorders>
              <w:top w:val="nil"/>
              <w:left w:val="nil"/>
              <w:bottom w:val="nil"/>
              <w:right w:val="nil"/>
            </w:tcBorders>
            <w:noWrap w:val="0"/>
            <w:tcMar>
              <w:top w:w="-1" w:type="dxa"/>
              <w:left w:w="-1" w:type="dxa"/>
              <w:bottom w:w="-1" w:type="dxa"/>
              <w:right w:w="-1" w:type="dxa"/>
            </w:tcMar>
            <w:vAlign w:val="center"/>
          </w:tcPr>
          <w:p w14:paraId="5641ACD0">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10,000</w:t>
            </w:r>
          </w:p>
        </w:tc>
        <w:tc>
          <w:tcPr>
            <w:tcW w:w="938" w:type="dxa"/>
            <w:tcBorders>
              <w:top w:val="nil"/>
              <w:left w:val="nil"/>
              <w:bottom w:val="nil"/>
              <w:right w:val="nil"/>
            </w:tcBorders>
            <w:noWrap w:val="0"/>
            <w:tcMar>
              <w:top w:w="-1" w:type="dxa"/>
              <w:left w:w="-1" w:type="dxa"/>
              <w:bottom w:w="-1" w:type="dxa"/>
              <w:right w:w="-1" w:type="dxa"/>
            </w:tcMar>
            <w:vAlign w:val="center"/>
          </w:tcPr>
          <w:p w14:paraId="0176FC93">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+1200</w:t>
            </w:r>
          </w:p>
        </w:tc>
        <w:tc>
          <w:tcPr>
            <w:tcW w:w="938" w:type="dxa"/>
            <w:tcBorders>
              <w:top w:val="nil"/>
              <w:left w:val="nil"/>
              <w:bottom w:val="nil"/>
              <w:right w:val="nil"/>
            </w:tcBorders>
            <w:noWrap w:val="0"/>
            <w:tcMar>
              <w:top w:w="-1" w:type="dxa"/>
              <w:left w:w="-1" w:type="dxa"/>
              <w:bottom w:w="-1" w:type="dxa"/>
              <w:right w:w="-1" w:type="dxa"/>
            </w:tcMar>
            <w:vAlign w:val="center"/>
          </w:tcPr>
          <w:p w14:paraId="0B95494E">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0</w:t>
            </w:r>
          </w:p>
        </w:tc>
      </w:tr>
      <w:tr w14:paraId="332482E6">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139" w:type="dxa"/>
            <w:tcBorders>
              <w:top w:val="nil"/>
              <w:left w:val="nil"/>
              <w:bottom w:val="single" w:color="auto" w:sz="12" w:space="0"/>
              <w:right w:val="nil"/>
            </w:tcBorders>
            <w:noWrap w:val="0"/>
            <w:tcMar>
              <w:top w:w="-1" w:type="dxa"/>
              <w:left w:w="-1" w:type="dxa"/>
              <w:bottom w:w="-1" w:type="dxa"/>
              <w:right w:w="-1" w:type="dxa"/>
            </w:tcMar>
            <w:vAlign w:val="center"/>
          </w:tcPr>
          <w:p w14:paraId="55FCB76F">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B06</w:t>
            </w:r>
          </w:p>
        </w:tc>
        <w:tc>
          <w:tcPr>
            <w:tcW w:w="756" w:type="dxa"/>
            <w:tcBorders>
              <w:top w:val="nil"/>
              <w:left w:val="nil"/>
              <w:bottom w:val="single" w:color="auto" w:sz="12" w:space="0"/>
              <w:right w:val="nil"/>
            </w:tcBorders>
            <w:noWrap w:val="0"/>
            <w:tcMar>
              <w:top w:w="-1" w:type="dxa"/>
              <w:left w:w="-1" w:type="dxa"/>
              <w:bottom w:w="-1" w:type="dxa"/>
              <w:right w:w="-1" w:type="dxa"/>
            </w:tcMar>
            <w:vAlign w:val="center"/>
          </w:tcPr>
          <w:p w14:paraId="094997B5">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2026-04-15</w:t>
            </w:r>
          </w:p>
        </w:tc>
        <w:tc>
          <w:tcPr>
            <w:tcW w:w="737" w:type="dxa"/>
            <w:tcBorders>
              <w:top w:val="nil"/>
              <w:left w:val="nil"/>
              <w:bottom w:val="single" w:color="auto" w:sz="12" w:space="0"/>
              <w:right w:val="nil"/>
            </w:tcBorders>
            <w:noWrap w:val="0"/>
            <w:tcMar>
              <w:top w:w="-1" w:type="dxa"/>
              <w:left w:w="-1" w:type="dxa"/>
              <w:bottom w:w="-1" w:type="dxa"/>
              <w:right w:w="-1" w:type="dxa"/>
            </w:tcMar>
            <w:vAlign w:val="center"/>
          </w:tcPr>
          <w:p w14:paraId="4DBCE95D">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w:t>
            </w:r>
          </w:p>
        </w:tc>
        <w:tc>
          <w:tcPr>
            <w:tcW w:w="1286" w:type="dxa"/>
            <w:tcBorders>
              <w:top w:val="nil"/>
              <w:left w:val="nil"/>
              <w:bottom w:val="single" w:color="auto" w:sz="12" w:space="0"/>
              <w:right w:val="nil"/>
            </w:tcBorders>
            <w:noWrap w:val="0"/>
            <w:tcMar>
              <w:top w:w="-1" w:type="dxa"/>
              <w:left w:w="-1" w:type="dxa"/>
              <w:bottom w:w="-1" w:type="dxa"/>
              <w:right w:w="-1" w:type="dxa"/>
            </w:tcMar>
            <w:vAlign w:val="center"/>
          </w:tcPr>
          <w:p w14:paraId="51CF1A9B">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50ETF购4月3000</w:t>
            </w:r>
          </w:p>
        </w:tc>
        <w:tc>
          <w:tcPr>
            <w:tcW w:w="1136" w:type="dxa"/>
            <w:tcBorders>
              <w:top w:val="nil"/>
              <w:left w:val="nil"/>
              <w:bottom w:val="single" w:color="auto" w:sz="12" w:space="0"/>
              <w:right w:val="nil"/>
            </w:tcBorders>
            <w:noWrap w:val="0"/>
            <w:tcMar>
              <w:top w:w="-1" w:type="dxa"/>
              <w:left w:w="-1" w:type="dxa"/>
              <w:bottom w:w="-1" w:type="dxa"/>
              <w:right w:w="-1" w:type="dxa"/>
            </w:tcMar>
            <w:vAlign w:val="center"/>
          </w:tcPr>
          <w:p w14:paraId="30ABAA01">
            <w:pPr>
              <w:snapToGrid w:val="0"/>
              <w:spacing w:line="240" w:lineRule="auto"/>
              <w:ind w:left="0" w:leftChars="0" w:right="0" w:rightChars="0" w:firstLine="0" w:firstLineChars="0"/>
              <w:jc w:val="left"/>
              <w:rPr>
                <w:rFonts w:ascii="宋体" w:eastAsia="宋体"/>
                <w:sz w:val="20"/>
              </w:rPr>
            </w:pPr>
            <w:r>
              <w:rPr>
                <w:rFonts w:ascii="宋体" w:hAnsi="宋体" w:eastAsia="宋体"/>
                <w:sz w:val="20"/>
              </w:rPr>
              <w:t>到期作废</w:t>
            </w:r>
          </w:p>
        </w:tc>
        <w:tc>
          <w:tcPr>
            <w:tcW w:w="936" w:type="dxa"/>
            <w:tcBorders>
              <w:top w:val="nil"/>
              <w:left w:val="nil"/>
              <w:bottom w:val="single" w:color="auto" w:sz="12" w:space="0"/>
              <w:right w:val="nil"/>
            </w:tcBorders>
            <w:noWrap w:val="0"/>
            <w:tcMar>
              <w:top w:w="-1" w:type="dxa"/>
              <w:left w:w="-1" w:type="dxa"/>
              <w:bottom w:w="-1" w:type="dxa"/>
              <w:right w:w="-1" w:type="dxa"/>
            </w:tcMar>
            <w:vAlign w:val="center"/>
          </w:tcPr>
          <w:p w14:paraId="29F5FA32">
            <w:pPr>
              <w:snapToGrid w:val="0"/>
              <w:spacing w:line="240" w:lineRule="auto"/>
              <w:ind w:left="0" w:leftChars="0" w:right="0" w:rightChars="0" w:firstLine="0" w:firstLineChars="0"/>
              <w:jc w:val="left"/>
              <w:rPr>
                <w:rFonts w:ascii="宋体" w:eastAsia="宋体"/>
                <w:sz w:val="20"/>
              </w:rPr>
            </w:pPr>
            <w:r>
              <w:rPr>
                <w:rFonts w:ascii="宋体" w:hAnsi="宋体" w:eastAsia="宋体"/>
                <w:sz w:val="20"/>
              </w:rPr>
              <w:t>0</w:t>
            </w:r>
          </w:p>
        </w:tc>
        <w:tc>
          <w:tcPr>
            <w:tcW w:w="936" w:type="dxa"/>
            <w:tcBorders>
              <w:top w:val="nil"/>
              <w:left w:val="nil"/>
              <w:bottom w:val="single" w:color="auto" w:sz="12" w:space="0"/>
              <w:right w:val="nil"/>
            </w:tcBorders>
            <w:noWrap w:val="0"/>
            <w:tcMar>
              <w:top w:w="-1" w:type="dxa"/>
              <w:left w:w="-1" w:type="dxa"/>
              <w:bottom w:w="-1" w:type="dxa"/>
              <w:right w:w="-1" w:type="dxa"/>
            </w:tcMar>
            <w:vAlign w:val="center"/>
          </w:tcPr>
          <w:p w14:paraId="36019F4F">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w:t>
            </w:r>
          </w:p>
        </w:tc>
        <w:tc>
          <w:tcPr>
            <w:tcW w:w="938" w:type="dxa"/>
            <w:tcBorders>
              <w:top w:val="nil"/>
              <w:left w:val="nil"/>
              <w:bottom w:val="single" w:color="auto" w:sz="12" w:space="0"/>
              <w:right w:val="nil"/>
            </w:tcBorders>
            <w:noWrap w:val="0"/>
            <w:tcMar>
              <w:top w:w="-1" w:type="dxa"/>
              <w:left w:w="-1" w:type="dxa"/>
              <w:bottom w:w="-1" w:type="dxa"/>
              <w:right w:w="-1" w:type="dxa"/>
            </w:tcMar>
            <w:vAlign w:val="center"/>
          </w:tcPr>
          <w:p w14:paraId="0D48AA7A">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0</w:t>
            </w:r>
          </w:p>
        </w:tc>
        <w:tc>
          <w:tcPr>
            <w:tcW w:w="938" w:type="dxa"/>
            <w:tcBorders>
              <w:top w:val="nil"/>
              <w:left w:val="nil"/>
              <w:bottom w:val="single" w:color="auto" w:sz="12" w:space="0"/>
              <w:right w:val="nil"/>
            </w:tcBorders>
            <w:noWrap w:val="0"/>
            <w:tcMar>
              <w:top w:w="-1" w:type="dxa"/>
              <w:left w:w="-1" w:type="dxa"/>
              <w:bottom w:w="-1" w:type="dxa"/>
              <w:right w:w="-1" w:type="dxa"/>
            </w:tcMar>
            <w:vAlign w:val="center"/>
          </w:tcPr>
          <w:p w14:paraId="54A66591">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0</w:t>
            </w:r>
          </w:p>
        </w:tc>
      </w:tr>
    </w:tbl>
    <w:p w14:paraId="4A581F85"/>
    <w:p w14:paraId="3E7AC845">
      <w:pPr>
        <w:ind w:firstLine="420"/>
      </w:pPr>
      <w:r>
        <w:rPr>
          <w:rFonts w:ascii="宋体" w:hAnsi="宋体" w:eastAsia="宋体"/>
          <w:sz w:val="24"/>
        </w:rPr>
        <w:t>模拟交易操作界面截图（略，详见附件交易日志）。以上数据为中国金融期货交易所及上海证券交易所2026年3月—4月真实行情回放模式下执行，价格单位为元/份，每张期权合约对应10,000份ETF份额。</w:t>
      </w:r>
    </w:p>
    <w:p w14:paraId="6F30350B">
      <w:pPr>
        <w:spacing w:before="240" w:after="120"/>
        <w:ind w:firstLine="0"/>
      </w:pPr>
      <w:r>
        <w:rPr>
          <w:rFonts w:ascii="黑体" w:hAnsi="黑体" w:eastAsia="黑体"/>
          <w:b/>
          <w:sz w:val="28"/>
        </w:rPr>
        <w:t>四、结果分析</w:t>
      </w:r>
    </w:p>
    <w:p w14:paraId="4EADD691">
      <w:pPr>
        <w:spacing w:before="240" w:after="120"/>
        <w:ind w:firstLine="0"/>
      </w:pPr>
      <w:r>
        <w:rPr>
          <w:rFonts w:ascii="黑体" w:hAnsi="黑体" w:eastAsia="黑体"/>
          <w:b/>
          <w:sz w:val="26"/>
        </w:rPr>
        <w:t>4.1 三种场景下的损益对比</w:t>
      </w:r>
    </w:p>
    <w:p w14:paraId="2D686C9B">
      <w:pPr>
        <w:ind w:firstLine="420"/>
        <w:rPr>
          <w:rFonts w:ascii="宋体" w:hAnsi="宋体" w:eastAsia="宋体"/>
          <w:sz w:val="24"/>
        </w:rPr>
      </w:pPr>
      <w:r>
        <w:rPr>
          <w:rFonts w:ascii="宋体" w:hAnsi="宋体" w:eastAsia="宋体"/>
          <w:sz w:val="24"/>
        </w:rPr>
        <w:t>到期日4月15日，50ETF收盘价2.680元，较建仓日下跌5.96%。此为典型的下行风险兑现场景，三种策略的损益状况见下表：</w:t>
      </w:r>
      <w:bookmarkStart w:id="0" w:name="_GoBack"/>
      <w:bookmarkEnd w:id="0"/>
    </w:p>
    <w:tbl>
      <w:tblPr>
        <w:tblStyle w:val="33"/>
        <w:tblW w:w="8862"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1396"/>
        <w:gridCol w:w="2115"/>
        <w:gridCol w:w="3344"/>
        <w:gridCol w:w="1009"/>
        <w:gridCol w:w="998"/>
      </w:tblGrid>
      <w:tr w14:paraId="0027D09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1396" w:type="dxa"/>
            <w:tcBorders>
              <w:top w:val="single" w:color="auto" w:sz="12" w:space="0"/>
              <w:left w:val="nil"/>
              <w:bottom w:val="nil"/>
              <w:right w:val="nil"/>
            </w:tcBorders>
            <w:shd w:val="clear" w:color="auto" w:fill="auto"/>
            <w:noWrap w:val="0"/>
            <w:tcMar>
              <w:top w:w="-1" w:type="dxa"/>
              <w:left w:w="-1" w:type="dxa"/>
              <w:bottom w:w="-1" w:type="dxa"/>
              <w:right w:w="-1" w:type="dxa"/>
            </w:tcMar>
            <w:vAlign w:val="center"/>
          </w:tcPr>
          <w:p w14:paraId="3A80F8BA">
            <w:pPr>
              <w:snapToGrid w:val="0"/>
              <w:spacing w:line="240" w:lineRule="auto"/>
              <w:ind w:left="0" w:leftChars="0" w:right="0" w:rightChars="0" w:firstLine="0" w:firstLineChars="0"/>
              <w:jc w:val="center"/>
              <w:rPr>
                <w:rFonts w:ascii="宋体" w:eastAsia="宋体"/>
                <w:b/>
                <w:sz w:val="20"/>
              </w:rPr>
            </w:pPr>
            <w:r>
              <w:rPr>
                <w:rFonts w:ascii="宋体" w:hAnsi="宋体" w:eastAsia="宋体"/>
                <w:b/>
                <w:sz w:val="20"/>
              </w:rPr>
              <w:t>策略类型</w:t>
            </w:r>
          </w:p>
        </w:tc>
        <w:tc>
          <w:tcPr>
            <w:tcW w:w="2115" w:type="dxa"/>
            <w:tcBorders>
              <w:top w:val="single" w:color="auto" w:sz="12" w:space="0"/>
              <w:left w:val="nil"/>
              <w:bottom w:val="nil"/>
              <w:right w:val="nil"/>
            </w:tcBorders>
            <w:shd w:val="clear" w:color="auto" w:fill="auto"/>
            <w:noWrap w:val="0"/>
            <w:tcMar>
              <w:top w:w="-1" w:type="dxa"/>
              <w:left w:w="-1" w:type="dxa"/>
              <w:bottom w:w="-1" w:type="dxa"/>
              <w:right w:w="-1" w:type="dxa"/>
            </w:tcMar>
            <w:vAlign w:val="center"/>
          </w:tcPr>
          <w:p w14:paraId="598D74BF">
            <w:pPr>
              <w:snapToGrid w:val="0"/>
              <w:spacing w:line="240" w:lineRule="auto"/>
              <w:ind w:left="0" w:leftChars="0" w:right="0" w:rightChars="0" w:firstLine="0" w:firstLineChars="0"/>
              <w:jc w:val="center"/>
              <w:rPr>
                <w:rFonts w:ascii="宋体" w:eastAsia="宋体"/>
                <w:b/>
                <w:sz w:val="20"/>
              </w:rPr>
            </w:pPr>
            <w:r>
              <w:rPr>
                <w:rFonts w:ascii="宋体" w:hAnsi="宋体" w:eastAsia="宋体"/>
                <w:b/>
                <w:sz w:val="20"/>
              </w:rPr>
              <w:t>现货端损益(元)</w:t>
            </w:r>
          </w:p>
        </w:tc>
        <w:tc>
          <w:tcPr>
            <w:tcW w:w="3344" w:type="dxa"/>
            <w:tcBorders>
              <w:top w:val="single" w:color="auto" w:sz="12" w:space="0"/>
              <w:left w:val="nil"/>
              <w:bottom w:val="nil"/>
              <w:right w:val="nil"/>
            </w:tcBorders>
            <w:shd w:val="clear" w:color="auto" w:fill="auto"/>
            <w:noWrap w:val="0"/>
            <w:tcMar>
              <w:top w:w="-1" w:type="dxa"/>
              <w:left w:w="-1" w:type="dxa"/>
              <w:bottom w:w="-1" w:type="dxa"/>
              <w:right w:w="-1" w:type="dxa"/>
            </w:tcMar>
            <w:vAlign w:val="center"/>
          </w:tcPr>
          <w:p w14:paraId="468A8E62">
            <w:pPr>
              <w:snapToGrid w:val="0"/>
              <w:spacing w:line="240" w:lineRule="auto"/>
              <w:ind w:left="0" w:leftChars="0" w:right="0" w:rightChars="0" w:firstLine="0" w:firstLineChars="0"/>
              <w:jc w:val="center"/>
              <w:rPr>
                <w:rFonts w:ascii="宋体" w:eastAsia="宋体"/>
                <w:b/>
                <w:sz w:val="20"/>
              </w:rPr>
            </w:pPr>
            <w:r>
              <w:rPr>
                <w:rFonts w:ascii="宋体" w:hAnsi="宋体" w:eastAsia="宋体"/>
                <w:b/>
                <w:sz w:val="20"/>
              </w:rPr>
              <w:t>期权端损益(元)</w:t>
            </w:r>
          </w:p>
        </w:tc>
        <w:tc>
          <w:tcPr>
            <w:tcW w:w="1009" w:type="dxa"/>
            <w:tcBorders>
              <w:top w:val="single" w:color="auto" w:sz="12" w:space="0"/>
              <w:left w:val="nil"/>
              <w:bottom w:val="nil"/>
              <w:right w:val="nil"/>
            </w:tcBorders>
            <w:shd w:val="clear" w:color="auto" w:fill="auto"/>
            <w:noWrap w:val="0"/>
            <w:tcMar>
              <w:top w:w="-1" w:type="dxa"/>
              <w:left w:w="-1" w:type="dxa"/>
              <w:bottom w:w="-1" w:type="dxa"/>
              <w:right w:w="-1" w:type="dxa"/>
            </w:tcMar>
            <w:vAlign w:val="center"/>
          </w:tcPr>
          <w:p w14:paraId="61655BD1">
            <w:pPr>
              <w:snapToGrid w:val="0"/>
              <w:spacing w:line="240" w:lineRule="auto"/>
              <w:ind w:left="0" w:leftChars="0" w:right="0" w:rightChars="0" w:firstLine="0" w:firstLineChars="0"/>
              <w:jc w:val="center"/>
              <w:rPr>
                <w:rFonts w:ascii="宋体" w:hAnsi="宋体" w:eastAsia="宋体"/>
                <w:b/>
                <w:sz w:val="20"/>
              </w:rPr>
            </w:pPr>
            <w:r>
              <w:rPr>
                <w:rFonts w:ascii="宋体" w:hAnsi="宋体" w:eastAsia="宋体"/>
                <w:b/>
                <w:sz w:val="20"/>
              </w:rPr>
              <w:t>总损益</w:t>
            </w:r>
          </w:p>
          <w:p w14:paraId="0BD8D9C9">
            <w:pPr>
              <w:snapToGrid w:val="0"/>
              <w:spacing w:line="240" w:lineRule="auto"/>
              <w:ind w:left="0" w:leftChars="0" w:right="0" w:rightChars="0" w:firstLine="0" w:firstLineChars="0"/>
              <w:jc w:val="center"/>
              <w:rPr>
                <w:rFonts w:ascii="宋体" w:eastAsia="宋体"/>
                <w:b/>
                <w:sz w:val="20"/>
              </w:rPr>
            </w:pPr>
            <w:r>
              <w:rPr>
                <w:rFonts w:ascii="宋体" w:hAnsi="宋体" w:eastAsia="宋体"/>
                <w:b/>
                <w:sz w:val="20"/>
              </w:rPr>
              <w:t>(元)</w:t>
            </w:r>
          </w:p>
        </w:tc>
        <w:tc>
          <w:tcPr>
            <w:tcW w:w="998" w:type="dxa"/>
            <w:tcBorders>
              <w:top w:val="single" w:color="auto" w:sz="12" w:space="0"/>
              <w:left w:val="nil"/>
              <w:bottom w:val="nil"/>
              <w:right w:val="nil"/>
            </w:tcBorders>
            <w:shd w:val="clear" w:color="auto" w:fill="auto"/>
            <w:noWrap w:val="0"/>
            <w:tcMar>
              <w:top w:w="-1" w:type="dxa"/>
              <w:left w:w="-1" w:type="dxa"/>
              <w:bottom w:w="-1" w:type="dxa"/>
              <w:right w:w="-1" w:type="dxa"/>
            </w:tcMar>
            <w:vAlign w:val="center"/>
          </w:tcPr>
          <w:p w14:paraId="2D7E6F8F">
            <w:pPr>
              <w:snapToGrid w:val="0"/>
              <w:spacing w:line="240" w:lineRule="auto"/>
              <w:ind w:left="0" w:leftChars="0" w:right="0" w:rightChars="0" w:firstLine="0" w:firstLineChars="0"/>
              <w:jc w:val="center"/>
              <w:rPr>
                <w:rFonts w:ascii="宋体" w:eastAsia="宋体"/>
                <w:b/>
                <w:sz w:val="20"/>
              </w:rPr>
            </w:pPr>
            <w:r>
              <w:rPr>
                <w:rFonts w:ascii="宋体" w:hAnsi="宋体" w:eastAsia="宋体"/>
                <w:b/>
                <w:sz w:val="20"/>
              </w:rPr>
              <w:t>收益率</w:t>
            </w:r>
          </w:p>
        </w:tc>
      </w:tr>
      <w:tr w14:paraId="4B8B1ED3">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396" w:type="dxa"/>
            <w:tcBorders>
              <w:top w:val="single" w:color="auto" w:sz="4" w:space="0"/>
              <w:left w:val="nil"/>
              <w:bottom w:val="nil"/>
              <w:right w:val="nil"/>
            </w:tcBorders>
            <w:noWrap w:val="0"/>
            <w:tcMar>
              <w:top w:w="-1" w:type="dxa"/>
              <w:left w:w="-1" w:type="dxa"/>
              <w:bottom w:w="-1" w:type="dxa"/>
              <w:right w:w="-1" w:type="dxa"/>
            </w:tcMar>
            <w:vAlign w:val="center"/>
          </w:tcPr>
          <w:p w14:paraId="43D0FDEF">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裸持现货</w:t>
            </w:r>
          </w:p>
        </w:tc>
        <w:tc>
          <w:tcPr>
            <w:tcW w:w="2115" w:type="dxa"/>
            <w:tcBorders>
              <w:top w:val="single" w:color="auto" w:sz="4" w:space="0"/>
              <w:left w:val="nil"/>
              <w:bottom w:val="nil"/>
              <w:right w:val="nil"/>
            </w:tcBorders>
            <w:noWrap w:val="0"/>
            <w:tcMar>
              <w:top w:w="-1" w:type="dxa"/>
              <w:left w:w="-1" w:type="dxa"/>
              <w:bottom w:w="-1" w:type="dxa"/>
              <w:right w:w="-1" w:type="dxa"/>
            </w:tcMar>
            <w:vAlign w:val="center"/>
          </w:tcPr>
          <w:p w14:paraId="11554C64">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(2.68-2.85)×10000 = -1700</w:t>
            </w:r>
          </w:p>
        </w:tc>
        <w:tc>
          <w:tcPr>
            <w:tcW w:w="3344" w:type="dxa"/>
            <w:tcBorders>
              <w:top w:val="single" w:color="auto" w:sz="4" w:space="0"/>
              <w:left w:val="nil"/>
              <w:bottom w:val="nil"/>
              <w:right w:val="nil"/>
            </w:tcBorders>
            <w:noWrap w:val="0"/>
            <w:tcMar>
              <w:top w:w="-1" w:type="dxa"/>
              <w:left w:w="-1" w:type="dxa"/>
              <w:bottom w:w="-1" w:type="dxa"/>
              <w:right w:w="-1" w:type="dxa"/>
            </w:tcMar>
            <w:vAlign w:val="center"/>
          </w:tcPr>
          <w:p w14:paraId="097612E3">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w:t>
            </w:r>
          </w:p>
        </w:tc>
        <w:tc>
          <w:tcPr>
            <w:tcW w:w="1009" w:type="dxa"/>
            <w:tcBorders>
              <w:top w:val="single" w:color="auto" w:sz="4" w:space="0"/>
              <w:left w:val="nil"/>
              <w:bottom w:val="nil"/>
              <w:right w:val="nil"/>
            </w:tcBorders>
            <w:noWrap w:val="0"/>
            <w:tcMar>
              <w:top w:w="-1" w:type="dxa"/>
              <w:left w:w="-1" w:type="dxa"/>
              <w:bottom w:w="-1" w:type="dxa"/>
              <w:right w:w="-1" w:type="dxa"/>
            </w:tcMar>
            <w:vAlign w:val="center"/>
          </w:tcPr>
          <w:p w14:paraId="2663C9AB">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-1700</w:t>
            </w:r>
          </w:p>
        </w:tc>
        <w:tc>
          <w:tcPr>
            <w:tcW w:w="998" w:type="dxa"/>
            <w:tcBorders>
              <w:top w:val="single" w:color="auto" w:sz="4" w:space="0"/>
              <w:left w:val="nil"/>
              <w:bottom w:val="nil"/>
              <w:right w:val="nil"/>
            </w:tcBorders>
            <w:noWrap w:val="0"/>
            <w:tcMar>
              <w:top w:w="-1" w:type="dxa"/>
              <w:left w:w="-1" w:type="dxa"/>
              <w:bottom w:w="-1" w:type="dxa"/>
              <w:right w:w="-1" w:type="dxa"/>
            </w:tcMar>
            <w:vAlign w:val="center"/>
          </w:tcPr>
          <w:p w14:paraId="036E5EF7">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-5.96%</w:t>
            </w:r>
          </w:p>
        </w:tc>
      </w:tr>
      <w:tr w14:paraId="2D1A64C5">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396" w:type="dxa"/>
            <w:tcBorders>
              <w:top w:val="nil"/>
              <w:left w:val="nil"/>
              <w:bottom w:val="nil"/>
              <w:right w:val="nil"/>
            </w:tcBorders>
            <w:noWrap w:val="0"/>
            <w:tcMar>
              <w:top w:w="-1" w:type="dxa"/>
              <w:left w:w="-1" w:type="dxa"/>
              <w:bottom w:w="-1" w:type="dxa"/>
              <w:right w:w="-1" w:type="dxa"/>
            </w:tcMar>
            <w:vAlign w:val="center"/>
          </w:tcPr>
          <w:p w14:paraId="62BFD99B">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保护性看跌</w:t>
            </w:r>
          </w:p>
        </w:tc>
        <w:tc>
          <w:tcPr>
            <w:tcW w:w="2115" w:type="dxa"/>
            <w:tcBorders>
              <w:top w:val="nil"/>
              <w:left w:val="nil"/>
              <w:bottom w:val="nil"/>
              <w:right w:val="nil"/>
            </w:tcBorders>
            <w:noWrap w:val="0"/>
            <w:tcMar>
              <w:top w:w="-1" w:type="dxa"/>
              <w:left w:w="-1" w:type="dxa"/>
              <w:bottom w:w="-1" w:type="dxa"/>
              <w:right w:w="-1" w:type="dxa"/>
            </w:tcMar>
            <w:vAlign w:val="center"/>
          </w:tcPr>
          <w:p w14:paraId="33954DB4">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-1700</w:t>
            </w:r>
          </w:p>
        </w:tc>
        <w:tc>
          <w:tcPr>
            <w:tcW w:w="3344" w:type="dxa"/>
            <w:tcBorders>
              <w:top w:val="nil"/>
              <w:left w:val="nil"/>
              <w:bottom w:val="nil"/>
              <w:right w:val="nil"/>
            </w:tcBorders>
            <w:noWrap w:val="0"/>
            <w:tcMar>
              <w:top w:w="-1" w:type="dxa"/>
              <w:left w:w="-1" w:type="dxa"/>
              <w:bottom w:w="-1" w:type="dxa"/>
              <w:right w:w="-1" w:type="dxa"/>
            </w:tcMar>
            <w:vAlign w:val="center"/>
          </w:tcPr>
          <w:p w14:paraId="475F4503">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(2.80-2.68-0.045)×10000 = +750</w:t>
            </w:r>
          </w:p>
        </w:tc>
        <w:tc>
          <w:tcPr>
            <w:tcW w:w="1009" w:type="dxa"/>
            <w:tcBorders>
              <w:top w:val="nil"/>
              <w:left w:val="nil"/>
              <w:bottom w:val="nil"/>
              <w:right w:val="nil"/>
            </w:tcBorders>
            <w:noWrap w:val="0"/>
            <w:tcMar>
              <w:top w:w="-1" w:type="dxa"/>
              <w:left w:w="-1" w:type="dxa"/>
              <w:bottom w:w="-1" w:type="dxa"/>
              <w:right w:w="-1" w:type="dxa"/>
            </w:tcMar>
            <w:vAlign w:val="center"/>
          </w:tcPr>
          <w:p w14:paraId="58FE760A">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-950</w:t>
            </w:r>
          </w:p>
        </w:tc>
        <w:tc>
          <w:tcPr>
            <w:tcW w:w="998" w:type="dxa"/>
            <w:tcBorders>
              <w:top w:val="nil"/>
              <w:left w:val="nil"/>
              <w:bottom w:val="nil"/>
              <w:right w:val="nil"/>
            </w:tcBorders>
            <w:noWrap w:val="0"/>
            <w:tcMar>
              <w:top w:w="-1" w:type="dxa"/>
              <w:left w:w="-1" w:type="dxa"/>
              <w:bottom w:w="-1" w:type="dxa"/>
              <w:right w:w="-1" w:type="dxa"/>
            </w:tcMar>
            <w:vAlign w:val="center"/>
          </w:tcPr>
          <w:p w14:paraId="4B2443C2">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-3.33%</w:t>
            </w:r>
          </w:p>
        </w:tc>
      </w:tr>
      <w:tr w14:paraId="52C13779">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1396" w:type="dxa"/>
            <w:tcBorders>
              <w:top w:val="nil"/>
              <w:left w:val="nil"/>
              <w:bottom w:val="single" w:color="auto" w:sz="12" w:space="0"/>
              <w:right w:val="nil"/>
            </w:tcBorders>
            <w:noWrap w:val="0"/>
            <w:tcMar>
              <w:top w:w="-1" w:type="dxa"/>
              <w:left w:w="-1" w:type="dxa"/>
              <w:bottom w:w="-1" w:type="dxa"/>
              <w:right w:w="-1" w:type="dxa"/>
            </w:tcMar>
            <w:vAlign w:val="center"/>
          </w:tcPr>
          <w:p w14:paraId="6ADD2168">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领口策略</w:t>
            </w:r>
          </w:p>
        </w:tc>
        <w:tc>
          <w:tcPr>
            <w:tcW w:w="2115" w:type="dxa"/>
            <w:tcBorders>
              <w:top w:val="nil"/>
              <w:left w:val="nil"/>
              <w:bottom w:val="single" w:color="auto" w:sz="12" w:space="0"/>
              <w:right w:val="nil"/>
            </w:tcBorders>
            <w:noWrap w:val="0"/>
            <w:tcMar>
              <w:top w:w="-1" w:type="dxa"/>
              <w:left w:w="-1" w:type="dxa"/>
              <w:bottom w:w="-1" w:type="dxa"/>
              <w:right w:w="-1" w:type="dxa"/>
            </w:tcMar>
            <w:vAlign w:val="center"/>
          </w:tcPr>
          <w:p w14:paraId="1E6476D1">
            <w:pPr>
              <w:snapToGrid w:val="0"/>
              <w:spacing w:line="240" w:lineRule="auto"/>
              <w:ind w:left="0" w:leftChars="0" w:right="0" w:rightChars="0" w:firstLine="0" w:firstLineChars="0"/>
              <w:jc w:val="center"/>
              <w:rPr>
                <w:rFonts w:ascii="宋体" w:eastAsia="宋体"/>
                <w:sz w:val="20"/>
              </w:rPr>
            </w:pPr>
            <w:r>
              <w:rPr>
                <w:rFonts w:ascii="宋体" w:hAnsi="宋体" w:eastAsia="宋体"/>
                <w:sz w:val="20"/>
              </w:rPr>
              <w:t>-1700</w:t>
            </w:r>
          </w:p>
        </w:tc>
        <w:tc>
          <w:tcPr>
            <w:tcW w:w="3344" w:type="dxa"/>
            <w:tcBorders>
              <w:top w:val="nil"/>
              <w:left w:val="nil"/>
              <w:bottom w:val="single" w:color="auto" w:sz="12" w:space="0"/>
              <w:right w:val="nil"/>
            </w:tcBorders>
            <w:noWrap w:val="0"/>
            <w:tcMar>
              <w:top w:w="-1" w:type="dxa"/>
              <w:left w:w="-1" w:type="dxa"/>
              <w:bottom w:w="-1" w:type="dxa"/>
              <w:right w:w="-1" w:type="dxa"/>
            </w:tcMar>
            <w:vAlign w:val="center"/>
          </w:tcPr>
          <w:p w14:paraId="76B77163">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(2.80-2.68-0.045+0.03)×10000 = +1050</w:t>
            </w:r>
          </w:p>
        </w:tc>
        <w:tc>
          <w:tcPr>
            <w:tcW w:w="1009" w:type="dxa"/>
            <w:tcBorders>
              <w:top w:val="nil"/>
              <w:left w:val="nil"/>
              <w:bottom w:val="single" w:color="auto" w:sz="12" w:space="0"/>
              <w:right w:val="nil"/>
            </w:tcBorders>
            <w:noWrap w:val="0"/>
            <w:tcMar>
              <w:top w:w="-1" w:type="dxa"/>
              <w:left w:w="-1" w:type="dxa"/>
              <w:bottom w:w="-1" w:type="dxa"/>
              <w:right w:w="-1" w:type="dxa"/>
            </w:tcMar>
            <w:vAlign w:val="center"/>
          </w:tcPr>
          <w:p w14:paraId="6A0D4FD8">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-650</w:t>
            </w:r>
          </w:p>
        </w:tc>
        <w:tc>
          <w:tcPr>
            <w:tcW w:w="998" w:type="dxa"/>
            <w:tcBorders>
              <w:top w:val="nil"/>
              <w:left w:val="nil"/>
              <w:bottom w:val="single" w:color="auto" w:sz="12" w:space="0"/>
              <w:right w:val="nil"/>
            </w:tcBorders>
            <w:noWrap w:val="0"/>
            <w:tcMar>
              <w:top w:w="-1" w:type="dxa"/>
              <w:left w:w="-1" w:type="dxa"/>
              <w:bottom w:w="-1" w:type="dxa"/>
              <w:right w:w="-1" w:type="dxa"/>
            </w:tcMar>
            <w:vAlign w:val="center"/>
          </w:tcPr>
          <w:p w14:paraId="5D9E1334">
            <w:pPr>
              <w:snapToGrid w:val="0"/>
              <w:spacing w:line="240" w:lineRule="auto"/>
              <w:ind w:left="0" w:leftChars="0" w:right="0" w:rightChars="0" w:firstLine="0" w:firstLineChars="0"/>
              <w:jc w:val="right"/>
              <w:rPr>
                <w:rFonts w:ascii="宋体" w:eastAsia="宋体"/>
                <w:sz w:val="20"/>
              </w:rPr>
            </w:pPr>
            <w:r>
              <w:rPr>
                <w:rFonts w:ascii="宋体" w:hAnsi="宋体" w:eastAsia="宋体"/>
                <w:sz w:val="20"/>
              </w:rPr>
              <w:t>-2.28%</w:t>
            </w:r>
          </w:p>
        </w:tc>
      </w:tr>
    </w:tbl>
    <w:p w14:paraId="46C83FAA"/>
    <w:p w14:paraId="36981E2D">
      <w:pPr>
        <w:ind w:firstLine="420"/>
      </w:pPr>
      <w:r>
        <w:rPr>
          <w:rFonts w:ascii="宋体" w:hAnsi="宋体" w:eastAsia="宋体"/>
          <w:sz w:val="24"/>
        </w:rPr>
        <w:t>裸持现货在下行行情中承受了全部跌幅（-5.96%）。保护性看跌策略将损失控制在3.33%，领口策略进一步压缩损失至2.28%。两种保护策略分别较裸持现货少损失750元和1050元，有效实现了尾部风险管理的目标。</w:t>
      </w:r>
    </w:p>
    <w:p w14:paraId="2862E0CD">
      <w:pPr>
        <w:ind w:firstLine="420"/>
      </w:pPr>
      <w:r>
        <w:rPr>
          <w:rFonts w:ascii="宋体" w:hAnsi="宋体" w:eastAsia="宋体"/>
          <w:sz w:val="24"/>
        </w:rPr>
        <w:t>以下是策略损益对比的可视化呈现（图表内含4个子图，展示了不同策略在不同标的价格下的损益结构、三种策略的直接对比，以及不同行权价对保护成本与保护幅度的影响）：</w:t>
      </w:r>
    </w:p>
    <w:p w14:paraId="090AE3BF">
      <w:pPr>
        <w:ind w:firstLine="0"/>
        <w:jc w:val="center"/>
      </w:pPr>
      <w:r>
        <w:drawing>
          <wp:inline distT="0" distB="0" distL="114300" distR="114300">
            <wp:extent cx="5303520" cy="3950335"/>
            <wp:effectExtent l="0" t="0" r="1143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5303520" cy="3950884"/>
                    </a:xfrm>
                    <a:prstGeom prst="rect">
                      <a:avLst/>
                    </a:prstGeom>
                  </pic:spPr>
                </pic:pic>
              </a:graphicData>
            </a:graphic>
          </wp:inline>
        </w:drawing>
      </w:r>
    </w:p>
    <w:p w14:paraId="1B972BC8">
      <w:pPr>
        <w:ind w:firstLine="0"/>
        <w:jc w:val="center"/>
      </w:pPr>
      <w:r>
        <w:rPr>
          <w:rFonts w:ascii="宋体" w:hAnsi="宋体" w:eastAsia="宋体"/>
          <w:color w:val="646464"/>
          <w:sz w:val="18"/>
        </w:rPr>
        <w:t>图1-4：策略损益对比分析图集（数据来源：模拟交易数据，Wind行情回放模式）</w:t>
      </w:r>
    </w:p>
    <w:p w14:paraId="36C48CDA">
      <w:pPr>
        <w:spacing w:before="240" w:after="120"/>
        <w:ind w:firstLine="0"/>
      </w:pPr>
      <w:r>
        <w:rPr>
          <w:rFonts w:ascii="黑体" w:hAnsi="黑体" w:eastAsia="黑体"/>
          <w:b/>
          <w:sz w:val="26"/>
        </w:rPr>
        <w:t>4.2 策略成本结构分析</w:t>
      </w:r>
    </w:p>
    <w:p w14:paraId="584DF134">
      <w:pPr>
        <w:ind w:firstLine="420"/>
        <w:rPr>
          <w:rFonts w:hint="eastAsia" w:ascii="宋体" w:hAnsi="宋体" w:eastAsia="宋体"/>
          <w:sz w:val="24"/>
        </w:rPr>
      </w:pPr>
      <w:r>
        <w:rPr>
          <w:rFonts w:hint="eastAsia" w:ascii="宋体" w:hAnsi="宋体" w:eastAsia="宋体"/>
          <w:sz w:val="24"/>
        </w:rPr>
        <w:t>保护性看跌策略的净保险成本为0.045元/份（权利金450元建仓10,000份），占现货持仓市值的1.58%，相当于花了1.58%的年化费率，锁定了最多损失不超过建仓成本的3.33%(含权利金)，也就相当于转移了大概50%的下行风险。</w:t>
      </w:r>
    </w:p>
    <w:p w14:paraId="01E1D098">
      <w:pPr>
        <w:ind w:firstLine="420"/>
      </w:pPr>
      <w:r>
        <w:rPr>
          <w:rFonts w:ascii="宋体" w:hAnsi="宋体" w:eastAsia="宋体"/>
          <w:sz w:val="24"/>
          <w:szCs w:val="24"/>
        </w:rPr>
        <w:t xml:space="preserve">利用领口策略卖出虚值看涨期权（行权价为3.000元，权利金收入为0.030元/份），使得净保险成本降到0.015元/份（150元），仅占持仓市值的0.53%，但需要付出代价：50ETF价格上涨到超过3.000元之后，上方的收益就被锁定，盈利的部分属于别人。从Black-Scholes定价角度来分析，50ETF购4月3000的理论价格约等于0.0285元（</w:t>
      </w:r>
      <m:oMath>
        <m:sSub>
          <m:e>
            <m:r>
              <w:rPr>
                <w:rFonts w:ascii="Cambria Math" w:hAnsi="Cambria Math"/>
              </w:rPr>
              <m:t xml:space="preserve">d</m:t>
            </m:r>
          </m:e>
          <m:sub>
            <m:r>
              <w:rPr>
                <w:rFonts w:ascii="Cambria Math" w:hAnsi="Cambria Math"/>
              </w:rPr>
              <m:t xml:space="preserve">1</m:t>
            </m:r>
          </m:sub>
        </m:sSub>
        <m:r>
          <w:rPr>
            <w:rFonts w:ascii="Cambria Math" w:hAnsi="Cambria Math"/>
          </w:rPr>
          <m:t xml:space="preserve">≈</m:t>
        </m:r>
        <m:r>
          <w:rPr>
            <w:rFonts w:ascii="Cambria Math" w:hAnsi="Cambria Math"/>
          </w:rPr>
          <m:t xml:space="preserve">0.37</m:t>
        </m:r>
      </m:oMath>
      <w:r>
        <w:rPr>
          <w:rFonts w:ascii="宋体" w:hAnsi="宋体" w:eastAsia="宋体"/>
          <w:sz w:val="24"/>
          <w:szCs w:val="24"/>
        </w:rPr>
        <w:t xml:space="preserve">，</w:t>
      </w:r>
      <m:oMath>
        <m:sSub>
          <m:e>
            <m:r>
              <w:rPr>
                <w:rFonts w:ascii="Cambria Math" w:hAnsi="Cambria Math"/>
              </w:rPr>
              <m:t xml:space="preserve">d</m:t>
            </m:r>
          </m:e>
          <m:sub>
            <m:r>
              <w:rPr>
                <w:rFonts w:ascii="Cambria Math" w:hAnsi="Cambria Math"/>
              </w:rPr>
              <m:t xml:space="preserve">2</m:t>
            </m:r>
          </m:sub>
        </m:sSub>
        <m:r>
          <w:rPr>
            <w:rFonts w:ascii="Cambria Math" w:hAnsi="Cambria Math"/>
          </w:rPr>
          <m:t xml:space="preserve">≈</m:t>
        </m:r>
        <m:r>
          <w:rPr>
            <w:rFonts w:ascii="Cambria Math" w:hAnsi="Cambria Math"/>
          </w:rPr>
          <m:t xml:space="preserve">0.18</m:t>
        </m:r>
      </m:oMath>
      <w:r>
        <w:rPr>
          <w:rFonts w:ascii="宋体" w:hAnsi="宋体" w:eastAsia="宋体"/>
          <w:sz w:val="24"/>
          <w:szCs w:val="24"/>
        </w:rPr>
        <w:t xml:space="preserve">，</w:t>
      </w:r>
      <m:oMath>
        <m:func>
          <m:fName>
            <m:r>
              <w:rPr>
                <w:rFonts w:ascii="Cambria Math" w:hAnsi="Cambria Math"/>
                <w:i w:val="0"/>
              </w:rPr>
              <m:t xml:space="preserve">N</m:t>
            </m:r>
          </m:fName>
          <m:e>
            <m:d>
              <m:dPr>
                <m:begChr m:val="("/>
                <m:endChr m:val=")"/>
              </m:dPr>
              <m:e>
                <m:sSub>
                  <m:e>
                    <m:r>
                      <w:rPr>
                        <w:rFonts w:ascii="Cambria Math" w:hAnsi="Cambria Math"/>
                      </w:rPr>
                      <m:t xml:space="preserve">d</m:t>
                    </m:r>
                  </m:e>
                  <m:sub>
                    <m:r>
                      <w:rPr>
                        <w:rFonts w:ascii="Cambria Math" w:hAnsi="Cambria Math"/>
                      </w:rPr>
                      <m:t xml:space="preserve">2</m:t>
                    </m:r>
                  </m:sub>
                </m:sSub>
              </m:e>
            </m:d>
          </m:e>
        </m:func>
        <m:r>
          <w:rPr>
            <w:rFonts w:ascii="Cambria Math" w:hAnsi="Cambria Math"/>
          </w:rPr>
          <m:t xml:space="preserve">≈</m:t>
        </m:r>
        <m:r>
          <w:rPr>
            <w:rFonts w:ascii="Cambria Math" w:hAnsi="Cambria Math"/>
          </w:rPr>
          <m:t xml:space="preserve">0.571</m:t>
        </m:r>
      </m:oMath>
      <w:r>
        <w:rPr>
          <w:rFonts w:ascii="宋体" w:hAnsi="宋体" w:eastAsia="宋体"/>
          <w:sz w:val="24"/>
          <w:szCs w:val="24"/>
        </w:rPr>
        <w:t xml:space="preserve">），其市场价格为0.030元，因此可以判断该合约是合理定价，领口策略的“卖权融资”具有市场效率。</w:t>
      </w:r>
    </w:p>
    <w:p w14:paraId="425DC0DB">
      <w:pPr>
        <w:spacing w:before="240" w:after="120"/>
        <w:ind w:firstLine="0"/>
      </w:pPr>
      <w:r>
        <w:rPr>
          <w:rFonts w:ascii="黑体" w:hAnsi="黑体" w:eastAsia="黑体"/>
          <w:b/>
          <w:sz w:val="26"/>
        </w:rPr>
        <w:t>4.3 隐含波动率与Gamma风险</w:t>
      </w:r>
    </w:p>
    <w:p w14:paraId="40445BBF">
      <w:pPr>
        <w:ind w:firstLine="420"/>
      </w:pPr>
      <w:r>
        <w:rPr>
          <w:rFonts w:hint="eastAsia" w:ascii="宋体" w:hAnsi="宋体" w:eastAsia="宋体"/>
          <w:sz w:val="24"/>
        </w:rPr>
        <w:t>建仓日50ETF沽4月2800的隐含波动率相比历史波动率高，且存在隐含波动率微笑，同时虚值看跌期权的溢价偏高，反映了市场对尾部风险的定价，这导致组合Gamma在行权价2.800元附近达到最大值（约为4.32）。这也就说明了标的价格向行权价附近快速趋近时，这时的组合Delta会出现较剧烈的变化，因此需要更多的头寸来维持组合中性。但因本例是持有到期，没有做Delta动态对冲，但实际企业在风控时，若提前平仓，则需要注意Gamma风险导致的对冲误差</w:t>
      </w:r>
      <w:r>
        <w:rPr>
          <w:rFonts w:ascii="宋体" w:hAnsi="宋体" w:eastAsia="宋体"/>
          <w:sz w:val="24"/>
        </w:rPr>
        <w:t>。</w:t>
      </w:r>
    </w:p>
    <w:p w14:paraId="3A0C7B7F">
      <w:pPr>
        <w:spacing w:before="240" w:after="120"/>
        <w:ind w:firstLine="0"/>
      </w:pPr>
      <w:r>
        <w:rPr>
          <w:rFonts w:ascii="黑体" w:hAnsi="黑体" w:eastAsia="黑体"/>
          <w:b/>
          <w:sz w:val="26"/>
        </w:rPr>
        <w:t>4.4 策略适用性评价</w:t>
      </w:r>
    </w:p>
    <w:p w14:paraId="49C797E5">
      <w:pPr>
        <w:ind w:firstLine="420"/>
      </w:pPr>
      <w:r>
        <w:rPr>
          <w:rFonts w:hint="eastAsia" w:ascii="宋体" w:hAnsi="宋体" w:eastAsia="宋体"/>
          <w:sz w:val="24"/>
        </w:rPr>
        <w:t>保护性看跌策略适用的情形包括：持仓市值较大，担心短时间内出现大幅下跌的机构投资者；打算参与权益市场但是风险预算有限的保险、养老金等长期资金；IPO前持股锁定期内的股东等。领口策略适用的情形则包括：风险预算较为紧张并能够容忍有限的上行空间的保守型投资者；持有了较多低成本股票且不愿意卖出(为了避税)的长期股东；预计市场震荡偏弱，并且对于上行没有太多期待的中性偏空的投资者</w:t>
      </w:r>
      <w:r>
        <w:rPr>
          <w:rFonts w:ascii="宋体" w:hAnsi="宋体" w:eastAsia="宋体"/>
          <w:sz w:val="24"/>
        </w:rPr>
        <w:t>。</w:t>
      </w:r>
    </w:p>
    <w:p w14:paraId="005C34A7">
      <w:pPr>
        <w:spacing w:before="240" w:after="120"/>
        <w:ind w:firstLine="0"/>
      </w:pPr>
      <w:r>
        <w:rPr>
          <w:rFonts w:ascii="黑体" w:hAnsi="黑体" w:eastAsia="黑体"/>
          <w:b/>
          <w:sz w:val="28"/>
        </w:rPr>
        <w:t>五、结论与反思</w:t>
      </w:r>
    </w:p>
    <w:p w14:paraId="76584838">
      <w:pPr>
        <w:ind w:firstLine="420"/>
        <w:rPr>
          <w:rFonts w:hint="eastAsia" w:ascii="宋体" w:hAnsi="宋体" w:eastAsia="宋体"/>
          <w:sz w:val="24"/>
        </w:rPr>
      </w:pPr>
      <w:r>
        <w:rPr>
          <w:rFonts w:hint="eastAsia" w:ascii="宋体" w:hAnsi="宋体" w:eastAsia="宋体"/>
          <w:sz w:val="24"/>
        </w:rPr>
        <w:t>基于50ETF仿真交易，验证了下行行情中保护性看跌策略和领口策略具有尾部风险管理功能，具体结论如下：第一，保护性看跌策略用1.58%的权利金成本将5.96%的跌幅缩小为3.33%的净损失，尾部风险管理效果较好；第二，领口策略通过卖出虚值看涨期权将净成本降到0.53%，并且拥有一定的上行空间，实现了低成本的下行保护，证明了"以卖养买"的可行性；第三，期权策略的损益结构非对称，如何在下行保护与上行收益之间做适当的权衡是策略设计的关键，天下没有免费的午餐，保护程度越高，需要付出的代价就越大，领口策略的成本优势是以上行封顶为代价的。</w:t>
      </w:r>
    </w:p>
    <w:p w14:paraId="008404B3">
      <w:pPr>
        <w:ind w:firstLine="420"/>
      </w:pPr>
      <w:r>
        <w:rPr>
          <w:rFonts w:hint="eastAsia" w:ascii="宋体" w:hAnsi="宋体" w:eastAsia="宋体"/>
          <w:sz w:val="24"/>
        </w:rPr>
        <w:t>本次实践反思主要有四点不足：一是忽略了Delta动态对冲，假设计划持有至到期，而实际工作中，企业多采用滚动保护性看跌策略，故可以进一步研究滚动保护性看跌策略的时间衰减效应。二是未考虑交易成本中的买卖价差、保证金占用成本等费用，而实际的市场冲击成本可能会进一步缩窄净收益。三是假定波动率模型为常数，没有考虑到随机波动率（例如：Heston模型）或跳跃扩散等更为复杂的波动率模型，在高波动率时期会使得定价出现偏差。四是个体现行权价、到期日的选择对策略收益有较大的影响，故在选择合适的参数值时应该根据情景分析以及压力测试等方法进行参数优化。综上所述，通过运用期权保护性策略能帮助企业用确定性的成本来规避不确定性风险，这是金融衍生工具服务于实体经济的重要体现</w:t>
      </w:r>
      <w:r>
        <w:rPr>
          <w:rFonts w:ascii="宋体" w:hAnsi="宋体" w:eastAsia="宋体"/>
          <w:sz w:val="24"/>
        </w:rPr>
        <w:t>。</w:t>
      </w:r>
    </w:p>
    <w:p w14:paraId="680681B6">
      <w:pPr>
        <w:spacing w:before="240" w:after="120"/>
        <w:ind w:firstLine="0"/>
      </w:pPr>
      <w:r>
        <w:rPr>
          <w:rFonts w:ascii="黑体" w:hAnsi="黑体" w:eastAsia="黑体"/>
          <w:b/>
          <w:sz w:val="28"/>
        </w:rPr>
        <w:t>六、参考文献</w:t>
      </w:r>
    </w:p>
    <w:p w14:paraId="0E878102">
      <w:pPr>
        <w:spacing w:after="40"/>
        <w:ind w:firstLine="0"/>
      </w:pPr>
      <w:r>
        <w:rPr>
          <w:rFonts w:ascii="宋体" w:hAnsi="宋体" w:eastAsia="宋体"/>
          <w:sz w:val="21"/>
        </w:rPr>
        <w:t>[1] 郑振龙, 陈蓉. 金融工程(第5版)[M]. 北京: 高等教育出版社, 2024.</w:t>
      </w:r>
    </w:p>
    <w:p w14:paraId="41EABA04">
      <w:pPr>
        <w:spacing w:after="40"/>
        <w:ind w:firstLine="0"/>
      </w:pPr>
      <w:r>
        <w:rPr>
          <w:rFonts w:ascii="宋体" w:hAnsi="宋体" w:eastAsia="宋体"/>
          <w:sz w:val="21"/>
        </w:rPr>
        <w:t>[2] Hull J C. Options, Futures, and Other Derivatives (11th Edition)[M]. New York: Pearson, 2022.</w:t>
      </w:r>
    </w:p>
    <w:p w14:paraId="016561FF">
      <w:pPr>
        <w:spacing w:after="40"/>
        <w:ind w:firstLine="0"/>
      </w:pPr>
      <w:r>
        <w:rPr>
          <w:rFonts w:ascii="宋体" w:hAnsi="宋体" w:eastAsia="宋体"/>
          <w:sz w:val="21"/>
        </w:rPr>
        <w:t>[3] 中国金融期货交易所. 股指期权合约交易细则[EB/OL]. http://www.cffex.com.cn, 2023.</w:t>
      </w:r>
    </w:p>
    <w:p w14:paraId="7AEF3E61">
      <w:pPr>
        <w:spacing w:after="40"/>
        <w:ind w:firstLine="0"/>
      </w:pPr>
      <w:r>
        <w:rPr>
          <w:rFonts w:ascii="宋体" w:hAnsi="宋体" w:eastAsia="宋体"/>
          <w:sz w:val="21"/>
        </w:rPr>
        <w:t>[4] 上海证券交易所. 上证50ETF期权合约基本条款[EB/OL]. http://www.sse.com.cn, 2025.</w:t>
      </w:r>
    </w:p>
    <w:p w14:paraId="56820AA5">
      <w:pPr>
        <w:spacing w:after="40"/>
        <w:ind w:firstLine="0"/>
      </w:pPr>
      <w:r>
        <w:rPr>
          <w:rFonts w:ascii="宋体" w:hAnsi="宋体" w:eastAsia="宋体"/>
          <w:sz w:val="21"/>
        </w:rPr>
        <w:t>[5] Black F, Scholes M. The Pricing of Options and Corporate Liabilities[J]. Journal of Political Economy, 1973, 81(3): 637-654.</w:t>
      </w:r>
    </w:p>
    <w:p w14:paraId="0DD5D9A6">
      <w:pPr>
        <w:spacing w:after="40"/>
        <w:ind w:firstLine="0"/>
      </w:pPr>
      <w:r>
        <w:rPr>
          <w:rFonts w:ascii="宋体" w:hAnsi="宋体" w:eastAsia="宋体"/>
          <w:sz w:val="21"/>
        </w:rPr>
        <w:t>[6] 华夏基金管理有限公司. 上证50ETF基金合同及招募说明书[EB/OL]. 2025.</w:t>
      </w:r>
    </w:p>
    <w:p w14:paraId="320D0FEC">
      <w:pPr>
        <w:spacing w:after="40"/>
        <w:ind w:firstLine="0"/>
      </w:pPr>
      <w:r>
        <w:rPr>
          <w:rFonts w:ascii="宋体" w:hAnsi="宋体" w:eastAsia="宋体"/>
          <w:sz w:val="21"/>
        </w:rPr>
        <w:t>[7] Merton R C. Theory of Rational Option Pricing[J]. Bell Journal of Economics and Management Science, 1973, 4(1): 141-183.</w:t>
      </w:r>
    </w:p>
    <w:sectPr>
      <w:pgSz w:w="12240" w:h="15840"/>
      <w:pgMar w:top="1440" w:right="1797" w:bottom="1440" w:left="1797"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宋体"/>
    <w:panose1 w:val="00000000000000000000"/>
    <w:charset w:val="86"/>
    <w:family w:val="auto"/>
    <w:pitch w:val="default"/>
    <w:sig w:usb0="00000000" w:usb1="00000000" w:usb2="00000000" w:usb3="00000000" w:csb0="00000000" w:csb1="00000000"/>
  </w:font>
  <w:font w:name="MS Gothic">
    <w:panose1 w:val="020B0609070205080204"/>
    <w:charset w:val="80"/>
    <w:family w:val="auto"/>
    <w:pitch w:val="default"/>
    <w:sig w:usb0="E00002FF" w:usb1="6AC7FDFB" w:usb2="08000012" w:usb3="00000000" w:csb0="4002009F" w:csb1="DFD7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1E7C4BD6"/>
    <w:rsid w:val="3DE97B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qFormat="1" w:uiPriority="99" w:semiHidden="0" w:name="List Bullet"/>
    <w:lsdException w:qFormat="1" w:uiPriority="99" w:semiHidden="0" w:name="List Number"/>
    <w:lsdException w:qFormat="1" w:uiPriority="99" w:semiHidden="0" w:name="List 2"/>
    <w:lsdException w:uiPriority="99" w:semiHidden="0" w:name="List 3"/>
    <w:lsdException w:uiPriority="99" w:name="List 4"/>
    <w:lsdException w:uiPriority="99" w:name="List 5"/>
    <w:lsdException w:uiPriority="99" w:semiHidden="0" w:name="List Bullet 2"/>
    <w:lsdException w:uiPriority="99" w:semiHidden="0" w:name="List Bullet 3"/>
    <w:lsdException w:uiPriority="99" w:name="List Bullet 4"/>
    <w:lsdException w:uiPriority="99" w:name="List Bullet 5"/>
    <w:lsdException w:qFormat="1" w:uiPriority="99" w:semiHidden="0" w:name="List Number 2"/>
    <w:lsdException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qFormat="1" w:unhideWhenUsed="0" w:uiPriority="64" w:semiHidden="0" w:name="Medium Shading 2"/>
    <w:lsdException w:qFormat="1"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unhideWhenUsed="0" w:uiPriority="60" w:semiHidden="0" w:name="Light Shading Accent 1"/>
    <w:lsdException w:qFormat="1"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unhideWhenUsed="0" w:uiPriority="67" w:semiHidden="0" w:name="Medium Grid 1 Accent 3"/>
    <w:lsdException w:qFormat="1" w:unhideWhenUsed="0" w:uiPriority="68" w:semiHidden="0" w:name="Medium Grid 2 Accent 3"/>
    <w:lsdException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unhideWhenUsed="0" w:uiPriority="60" w:semiHidden="0" w:name="Light Shading Accent 4"/>
    <w:lsdException w:qFormat="1" w:unhideWhenUsed="0" w:uiPriority="61" w:semiHidden="0" w:name="Light List Accent 4"/>
    <w:lsdException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0" w:line="360" w:lineRule="auto"/>
      <w:ind w:firstLine="420"/>
    </w:pPr>
    <w:rPr>
      <w:rFonts w:ascii="宋体" w:hAnsi="宋体" w:eastAsia="宋体" w:cstheme="minorBidi"/>
      <w:sz w:val="24"/>
      <w:szCs w:val="22"/>
      <w:lang w:val="en-US" w:eastAsia="en-US" w:bidi="ar-SA"/>
    </w:rPr>
  </w:style>
  <w:style w:type="paragraph" w:styleId="3">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4">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5">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6">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7">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8">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9">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0">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1">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32">
    <w:name w:val="Default Paragraph Font"/>
    <w:semiHidden/>
    <w:unhideWhenUsed/>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paragraph" w:styleId="12">
    <w:name w:val="List 3"/>
    <w:basedOn w:val="1"/>
    <w:unhideWhenUsed/>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46"/>
    <w:unhideWhenUsed/>
    <w:qFormat/>
    <w:uiPriority w:val="99"/>
    <w:pPr>
      <w:spacing w:after="120"/>
    </w:pPr>
    <w:rPr>
      <w:sz w:val="16"/>
      <w:szCs w:val="16"/>
    </w:rPr>
  </w:style>
  <w:style w:type="paragraph" w:styleId="18">
    <w:name w:val="List Bullet 3"/>
    <w:basedOn w:val="1"/>
    <w:unhideWhenUsed/>
    <w:uiPriority w:val="99"/>
    <w:pPr>
      <w:numPr>
        <w:ilvl w:val="0"/>
        <w:numId w:val="4"/>
      </w:numPr>
      <w:contextualSpacing/>
    </w:pPr>
  </w:style>
  <w:style w:type="paragraph" w:styleId="19">
    <w:name w:val="Body Text"/>
    <w:basedOn w:val="1"/>
    <w:link w:val="144"/>
    <w:unhideWhenUsed/>
    <w:qFormat/>
    <w:uiPriority w:val="99"/>
    <w:pPr>
      <w:spacing w:after="120"/>
    </w:pPr>
  </w:style>
  <w:style w:type="paragraph" w:styleId="20">
    <w:name w:val="List Number 3"/>
    <w:basedOn w:val="1"/>
    <w:unhideWhenUsed/>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uiPriority w:val="99"/>
    <w:pPr>
      <w:numPr>
        <w:ilvl w:val="0"/>
        <w:numId w:val="6"/>
      </w:numPr>
      <w:contextualSpacing/>
    </w:pPr>
  </w:style>
  <w:style w:type="paragraph" w:styleId="24">
    <w:name w:val="footer"/>
    <w:basedOn w:val="1"/>
    <w:link w:val="136"/>
    <w:unhideWhenUsed/>
    <w:uiPriority w:val="99"/>
    <w:pPr>
      <w:tabs>
        <w:tab w:val="center" w:pos="4680"/>
        <w:tab w:val="right" w:pos="9360"/>
      </w:tabs>
      <w:spacing w:after="0" w:line="240" w:lineRule="auto"/>
    </w:pPr>
  </w:style>
  <w:style w:type="paragraph" w:styleId="25">
    <w:name w:val="header"/>
    <w:basedOn w:val="1"/>
    <w:link w:val="135"/>
    <w:unhideWhenUsed/>
    <w:qFormat/>
    <w:uiPriority w:val="99"/>
    <w:pPr>
      <w:tabs>
        <w:tab w:val="center" w:pos="4680"/>
        <w:tab w:val="right" w:pos="9360"/>
      </w:tabs>
      <w:spacing w:after="0" w:line="240" w:lineRule="auto"/>
    </w:pPr>
  </w:style>
  <w:style w:type="paragraph" w:styleId="26">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27">
    <w:name w:val="List"/>
    <w:basedOn w:val="1"/>
    <w:unhideWhenUsed/>
    <w:uiPriority w:val="99"/>
    <w:pPr>
      <w:ind w:left="360" w:hanging="360"/>
      <w:contextualSpacing/>
    </w:pPr>
  </w:style>
  <w:style w:type="paragraph" w:styleId="28">
    <w:name w:val="Body Text 2"/>
    <w:basedOn w:val="1"/>
    <w:link w:val="145"/>
    <w:unhideWhenUsed/>
    <w:qFormat/>
    <w:uiPriority w:val="99"/>
    <w:pPr>
      <w:spacing w:after="120" w:line="480" w:lineRule="auto"/>
    </w:pPr>
  </w:style>
  <w:style w:type="paragraph" w:styleId="29">
    <w:name w:val="List Continue 2"/>
    <w:basedOn w:val="1"/>
    <w:unhideWhenUsed/>
    <w:qFormat/>
    <w:uiPriority w:val="99"/>
    <w:pPr>
      <w:spacing w:after="120"/>
      <w:ind w:left="720"/>
      <w:contextualSpacing/>
    </w:pPr>
  </w:style>
  <w:style w:type="paragraph" w:styleId="30">
    <w:name w:val="List Continue 3"/>
    <w:basedOn w:val="1"/>
    <w:unhideWhenUsed/>
    <w:qFormat/>
    <w:uiPriority w:val="99"/>
    <w:pPr>
      <w:spacing w:after="120"/>
      <w:ind w:left="1080"/>
      <w:contextualSpacing/>
    </w:pPr>
  </w:style>
  <w:style w:type="paragraph" w:styleId="31">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3">
    <w:name w:val="Table Grid"/>
    <w:basedOn w:val="32"/>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4">
    <w:name w:val="Light Shading"/>
    <w:basedOn w:val="3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5">
    <w:name w:val="Light Shading Accent 1"/>
    <w:basedOn w:val="32"/>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6">
    <w:name w:val="Light Shading Accent 2"/>
    <w:basedOn w:val="3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7">
    <w:name w:val="Light Shading Accent 3"/>
    <w:basedOn w:val="3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8">
    <w:name w:val="Light Shading Accent 4"/>
    <w:basedOn w:val="32"/>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9">
    <w:name w:val="Light Shading Accent 5"/>
    <w:basedOn w:val="3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0">
    <w:name w:val="Light Shading Accent 6"/>
    <w:basedOn w:val="3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1">
    <w:name w:val="Light List"/>
    <w:basedOn w:val="3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2">
    <w:name w:val="Light List Accent 1"/>
    <w:basedOn w:val="3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3">
    <w:name w:val="Light List Accent 2"/>
    <w:basedOn w:val="3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4">
    <w:name w:val="Light List Accent 3"/>
    <w:basedOn w:val="32"/>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5">
    <w:name w:val="Light List Accent 4"/>
    <w:basedOn w:val="3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6">
    <w:name w:val="Light List Accent 5"/>
    <w:basedOn w:val="3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7">
    <w:name w:val="Light List Accent 6"/>
    <w:basedOn w:val="3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8">
    <w:name w:val="Light Grid"/>
    <w:basedOn w:val="32"/>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49">
    <w:name w:val="Light Grid Accent 1"/>
    <w:basedOn w:val="32"/>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0">
    <w:name w:val="Light Grid Accent 2"/>
    <w:basedOn w:val="32"/>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1">
    <w:name w:val="Light Grid Accent 3"/>
    <w:basedOn w:val="3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2">
    <w:name w:val="Light Grid Accent 4"/>
    <w:basedOn w:val="32"/>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3">
    <w:name w:val="Light Grid Accent 5"/>
    <w:basedOn w:val="32"/>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4">
    <w:name w:val="Light Grid Accent 6"/>
    <w:basedOn w:val="32"/>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5">
    <w:name w:val="Medium Shading 1"/>
    <w:basedOn w:val="32"/>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6">
    <w:name w:val="Medium Shading 1 Accent 1"/>
    <w:basedOn w:val="3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57">
    <w:name w:val="Medium Shading 1 Accent 2"/>
    <w:basedOn w:val="3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8">
    <w:name w:val="Medium Shading 1 Accent 3"/>
    <w:basedOn w:val="3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9">
    <w:name w:val="Medium Shading 1 Accent 4"/>
    <w:basedOn w:val="3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0">
    <w:name w:val="Medium Shading 1 Accent 5"/>
    <w:basedOn w:val="3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1">
    <w:name w:val="Medium Shading 1 Accent 6"/>
    <w:basedOn w:val="3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2">
    <w:name w:val="Medium Shading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3">
    <w:name w:val="Medium Shading 2 Accent 1"/>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4">
    <w:name w:val="Medium Shading 2 Accent 2"/>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5">
    <w:name w:val="Medium Shading 2 Accent 3"/>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4"/>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5"/>
    <w:basedOn w:val="3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6"/>
    <w:basedOn w:val="3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List 1"/>
    <w:basedOn w:val="3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0">
    <w:name w:val="Medium List 1 Accent 1"/>
    <w:basedOn w:val="3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1">
    <w:name w:val="Medium List 1 Accent 2"/>
    <w:basedOn w:val="3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2">
    <w:name w:val="Medium List 1 Accent 3"/>
    <w:basedOn w:val="3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3">
    <w:name w:val="Medium List 1 Accent 4"/>
    <w:basedOn w:val="3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4">
    <w:name w:val="Medium List 1 Accent 5"/>
    <w:basedOn w:val="3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5">
    <w:name w:val="Medium List 1 Accent 6"/>
    <w:basedOn w:val="3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6">
    <w:name w:val="Medium List 2"/>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1"/>
    <w:basedOn w:val="3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8">
    <w:name w:val="Medium List 2 Accent 2"/>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9">
    <w:name w:val="Medium List 2 Accent 3"/>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4"/>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5"/>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6"/>
    <w:basedOn w:val="3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Grid 1"/>
    <w:basedOn w:val="32"/>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4">
    <w:name w:val="Medium Grid 1 Accent 1"/>
    <w:basedOn w:val="3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5">
    <w:name w:val="Medium Grid 1 Accent 2"/>
    <w:basedOn w:val="3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6">
    <w:name w:val="Medium Grid 1 Accent 3"/>
    <w:basedOn w:val="32"/>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7">
    <w:name w:val="Medium Grid 1 Accent 4"/>
    <w:basedOn w:val="32"/>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8">
    <w:name w:val="Medium Grid 1 Accent 5"/>
    <w:basedOn w:val="32"/>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9">
    <w:name w:val="Medium Grid 1 Accent 6"/>
    <w:basedOn w:val="3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0">
    <w:name w:val="Medium Grid 2"/>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1">
    <w:name w:val="Medium Grid 2 Accent 1"/>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2">
    <w:name w:val="Medium Grid 2 Accent 2"/>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3">
    <w:name w:val="Medium Grid 2 Accent 3"/>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4">
    <w:name w:val="Medium Grid 2 Accent 4"/>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5">
    <w:name w:val="Medium Grid 2 Accent 5"/>
    <w:basedOn w:val="3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6">
    <w:name w:val="Medium Grid 2 Accent 6"/>
    <w:basedOn w:val="32"/>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97">
    <w:name w:val="Medium Grid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98">
    <w:name w:val="Medium Grid 3 Accent 1"/>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99">
    <w:name w:val="Medium Grid 3 Accent 2"/>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0">
    <w:name w:val="Medium Grid 3 Accent 3"/>
    <w:basedOn w:val="32"/>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1">
    <w:name w:val="Medium Grid 3 Accent 4"/>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2">
    <w:name w:val="Medium Grid 3 Accent 5"/>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3">
    <w:name w:val="Medium Grid 3 Accent 6"/>
    <w:basedOn w:val="3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4">
    <w:name w:val="Dark List"/>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5">
    <w:name w:val="Dark List Accent 1"/>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6">
    <w:name w:val="Dark List Accent 2"/>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07">
    <w:name w:val="Dark List Accent 3"/>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08">
    <w:name w:val="Dark List Accent 4"/>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09">
    <w:name w:val="Dark List Accent 5"/>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0">
    <w:name w:val="Dark List Accent 6"/>
    <w:basedOn w:val="3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1">
    <w:name w:val="Colorful Shading"/>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2">
    <w:name w:val="Colorful Shading Accent 1"/>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3">
    <w:name w:val="Colorful Shading Accent 2"/>
    <w:basedOn w:val="3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4">
    <w:name w:val="Colorful Shading Accent 3"/>
    <w:basedOn w:val="3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5">
    <w:name w:val="Colorful Shading Accent 4"/>
    <w:basedOn w:val="3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5"/>
    <w:basedOn w:val="3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6"/>
    <w:basedOn w:val="3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8">
    <w:name w:val="Colorful List"/>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19">
    <w:name w:val="Colorful List Accent 1"/>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0">
    <w:name w:val="Colorful List Accent 2"/>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1">
    <w:name w:val="Colorful List Accent 3"/>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2">
    <w:name w:val="Colorful List Accent 4"/>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3">
    <w:name w:val="Colorful List Accent 5"/>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4">
    <w:name w:val="Colorful List Accent 6"/>
    <w:basedOn w:val="3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5">
    <w:name w:val="Colorful Grid"/>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6">
    <w:name w:val="Colorful Grid Accent 1"/>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27">
    <w:name w:val="Colorful Grid Accent 2"/>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28">
    <w:name w:val="Colorful Grid Accent 3"/>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29">
    <w:name w:val="Colorful Grid Accent 4"/>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0">
    <w:name w:val="Colorful Grid Accent 5"/>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1">
    <w:name w:val="Colorful Grid Accent 6"/>
    <w:basedOn w:val="3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33">
    <w:name w:val="Strong"/>
    <w:basedOn w:val="132"/>
    <w:qFormat/>
    <w:uiPriority w:val="22"/>
    <w:rPr>
      <w:b/>
      <w:bCs/>
    </w:rPr>
  </w:style>
  <w:style w:type="character" w:styleId="134">
    <w:name w:val="Emphasis"/>
    <w:basedOn w:val="132"/>
    <w:qFormat/>
    <w:uiPriority w:val="20"/>
    <w:rPr>
      <w:i/>
      <w:iCs/>
    </w:rPr>
  </w:style>
  <w:style w:type="character" w:customStyle="1" w:styleId="135">
    <w:name w:val="Header Char"/>
    <w:basedOn w:val="132"/>
    <w:link w:val="25"/>
    <w:qFormat/>
    <w:uiPriority w:val="99"/>
  </w:style>
  <w:style w:type="character" w:customStyle="1" w:styleId="136">
    <w:name w:val="Footer Char"/>
    <w:basedOn w:val="132"/>
    <w:link w:val="24"/>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32"/>
    <w:link w:val="3"/>
    <w:qFormat/>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32"/>
    <w:link w:val="4"/>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32"/>
    <w:link w:val="5"/>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32"/>
    <w:link w:val="31"/>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32"/>
    <w:link w:val="26"/>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32"/>
    <w:link w:val="19"/>
    <w:qFormat/>
    <w:uiPriority w:val="99"/>
  </w:style>
  <w:style w:type="character" w:customStyle="1" w:styleId="145">
    <w:name w:val="Body Text 2 Char"/>
    <w:basedOn w:val="132"/>
    <w:link w:val="28"/>
    <w:qFormat/>
    <w:uiPriority w:val="99"/>
  </w:style>
  <w:style w:type="character" w:customStyle="1" w:styleId="146">
    <w:name w:val="Body Text 3 Char"/>
    <w:basedOn w:val="132"/>
    <w:link w:val="17"/>
    <w:qFormat/>
    <w:uiPriority w:val="99"/>
    <w:rPr>
      <w:sz w:val="16"/>
      <w:szCs w:val="16"/>
    </w:rPr>
  </w:style>
  <w:style w:type="character" w:customStyle="1" w:styleId="147">
    <w:name w:val="Macro Text Char"/>
    <w:basedOn w:val="132"/>
    <w:link w:val="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32"/>
    <w:link w:val="148"/>
    <w:qFormat/>
    <w:uiPriority w:val="29"/>
    <w:rPr>
      <w:i/>
      <w:iCs/>
      <w:color w:val="000000" w:themeColor="text1"/>
      <w14:textFill>
        <w14:solidFill>
          <w14:schemeClr w14:val="tx1"/>
        </w14:solidFill>
      </w14:textFill>
    </w:rPr>
  </w:style>
  <w:style w:type="character" w:customStyle="1" w:styleId="150">
    <w:name w:val="Heading 4 Char"/>
    <w:basedOn w:val="132"/>
    <w:link w:val="6"/>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32"/>
    <w:link w:val="7"/>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32"/>
    <w:link w:val="8"/>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32"/>
    <w:link w:val="9"/>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32"/>
    <w:link w:val="10"/>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32"/>
    <w:link w:val="11"/>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32"/>
    <w:link w:val="156"/>
    <w:qFormat/>
    <w:uiPriority w:val="30"/>
    <w:rPr>
      <w:b/>
      <w:bCs/>
      <w:i/>
      <w:iCs/>
      <w:color w:val="4F81BD" w:themeColor="accent1"/>
      <w14:textFill>
        <w14:solidFill>
          <w14:schemeClr w14:val="accent1"/>
        </w14:solidFill>
      </w14:textFill>
    </w:rPr>
  </w:style>
  <w:style w:type="character" w:customStyle="1" w:styleId="158">
    <w:name w:val="Subtle Emphasis"/>
    <w:basedOn w:val="132"/>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32"/>
    <w:qFormat/>
    <w:uiPriority w:val="21"/>
    <w:rPr>
      <w:b/>
      <w:bCs/>
      <w:i/>
      <w:iCs/>
      <w:color w:val="4F81BD" w:themeColor="accent1"/>
      <w14:textFill>
        <w14:solidFill>
          <w14:schemeClr w14:val="accent1"/>
        </w14:solidFill>
      </w14:textFill>
    </w:rPr>
  </w:style>
  <w:style w:type="character" w:customStyle="1" w:styleId="160">
    <w:name w:val="Subtle Reference"/>
    <w:basedOn w:val="132"/>
    <w:qFormat/>
    <w:uiPriority w:val="31"/>
    <w:rPr>
      <w:smallCaps/>
      <w:color w:val="C0504D" w:themeColor="accent2"/>
      <w:u w:val="single"/>
      <w14:textFill>
        <w14:solidFill>
          <w14:schemeClr w14:val="accent2"/>
        </w14:solidFill>
      </w14:textFill>
    </w:rPr>
  </w:style>
  <w:style w:type="character" w:customStyle="1" w:styleId="161">
    <w:name w:val="Intense Reference"/>
    <w:basedOn w:val="132"/>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32"/>
    <w:qFormat/>
    <w:uiPriority w:val="33"/>
    <w:rPr>
      <w:b/>
      <w:bCs/>
      <w:smallCaps/>
      <w:spacing w:val="5"/>
    </w:rPr>
  </w:style>
  <w:style w:type="paragraph" w:customStyle="1" w:styleId="163">
    <w:name w:val="TOC Heading"/>
    <w:basedOn w:val="3"/>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3457</Words>
  <Characters>4909</Characters>
  <Lines>0</Lines>
  <Paragraphs>0</Paragraphs>
  <TotalTime>9</TotalTime>
  <ScaleCrop>false</ScaleCrop>
  <LinksUpToDate>false</LinksUpToDate>
  <CharactersWithSpaces>5011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嘉嘉程</cp:lastModifiedBy>
  <dcterms:modified xsi:type="dcterms:W3CDTF">2026-05-30T16:54:38Z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eyJoZGlkIjoiZDEzMmQyNWZlNzY4YThkNmUxOWUwOTcxYjM0NDFmMmEiLCJ1c2VySWQiOiI5MTY3Nzk5OTgifQ==</vt:lpwstr>
  </property>
  <property fmtid="{D5CDD505-2E9C-101B-9397-08002B2CF9AE}" pid="3" name="KSOProductBuildVer">
    <vt:lpwstr>2052-12.1.0.26375</vt:lpwstr>
  </property>
  <property fmtid="{D5CDD505-2E9C-101B-9397-08002B2CF9AE}" pid="4" name="ICV">
    <vt:lpwstr>DA177AA728DE43AA9728A3799A4FB964_12</vt:lpwstr>
  </property>
</Properties>
</file>